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CC6834" w14:textId="31359A49" w:rsidR="00F93DE8" w:rsidRPr="0046436B" w:rsidRDefault="00F93DE8" w:rsidP="006D593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6436B">
        <w:rPr>
          <w:rFonts w:ascii="Times New Roman" w:hAnsi="Times New Roman" w:cs="Times New Roman"/>
          <w:b/>
          <w:bCs/>
          <w:sz w:val="24"/>
          <w:szCs w:val="24"/>
        </w:rPr>
        <w:t>Una reforma tributaria estructural para romper con el pasado colonial</w:t>
      </w:r>
    </w:p>
    <w:p w14:paraId="716B4878" w14:textId="77777777" w:rsidR="00914D5D" w:rsidRPr="00F93DE8" w:rsidRDefault="00914D5D" w:rsidP="00017E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AEFA030" w14:textId="7C2DC519" w:rsidR="005C2DC2" w:rsidRPr="00F93DE8" w:rsidRDefault="005C2DC2" w:rsidP="00017E7E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Carlos Díaz </w:t>
      </w:r>
    </w:p>
    <w:p w14:paraId="513DF79E" w14:textId="790756D2" w:rsidR="00F93DE8" w:rsidRPr="00F93DE8" w:rsidRDefault="00F93DE8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DE8">
        <w:rPr>
          <w:rFonts w:ascii="Times New Roman" w:hAnsi="Times New Roman" w:cs="Times New Roman"/>
          <w:sz w:val="24"/>
          <w:szCs w:val="24"/>
        </w:rPr>
        <w:t xml:space="preserve">La discusión sobre </w:t>
      </w:r>
      <w:r w:rsidR="00EB4182">
        <w:rPr>
          <w:rFonts w:ascii="Times New Roman" w:hAnsi="Times New Roman" w:cs="Times New Roman"/>
          <w:sz w:val="24"/>
          <w:szCs w:val="24"/>
        </w:rPr>
        <w:t>la</w:t>
      </w:r>
      <w:r w:rsidRPr="00F93DE8">
        <w:rPr>
          <w:rFonts w:ascii="Times New Roman" w:hAnsi="Times New Roman" w:cs="Times New Roman"/>
          <w:sz w:val="24"/>
          <w:szCs w:val="24"/>
        </w:rPr>
        <w:t xml:space="preserve"> reforma tributaria </w:t>
      </w:r>
      <w:r w:rsidR="00EB4182" w:rsidRPr="00F93DE8">
        <w:rPr>
          <w:rFonts w:ascii="Times New Roman" w:hAnsi="Times New Roman" w:cs="Times New Roman"/>
          <w:sz w:val="24"/>
          <w:szCs w:val="24"/>
        </w:rPr>
        <w:t xml:space="preserve">en Colombia </w:t>
      </w:r>
      <w:r w:rsidRPr="00F93DE8">
        <w:rPr>
          <w:rFonts w:ascii="Times New Roman" w:hAnsi="Times New Roman" w:cs="Times New Roman"/>
          <w:sz w:val="24"/>
          <w:szCs w:val="24"/>
        </w:rPr>
        <w:t xml:space="preserve">es </w:t>
      </w:r>
      <w:r w:rsidR="00EB4182">
        <w:rPr>
          <w:rFonts w:ascii="Times New Roman" w:hAnsi="Times New Roman" w:cs="Times New Roman"/>
          <w:sz w:val="24"/>
          <w:szCs w:val="24"/>
        </w:rPr>
        <w:t>un asunto</w:t>
      </w:r>
      <w:r w:rsidRPr="00F93DE8">
        <w:rPr>
          <w:rFonts w:ascii="Times New Roman" w:hAnsi="Times New Roman" w:cs="Times New Roman"/>
          <w:sz w:val="24"/>
          <w:szCs w:val="24"/>
        </w:rPr>
        <w:t xml:space="preserve"> interminable. Cada gobierno presenta la suya, enfocada en cerrar el déficit fiscal del momento, pero pocas veces se ataca la raíz del problema: la estructura fiscal de Colombia es obsoleta, un vestigio de la era colonial que se ha perpetuado por más de dos siglos y que ha demostrado ser incapaz de construir una sociedad más equitativa. Es hora de plantear una reforma que no sea un simple </w:t>
      </w:r>
      <w:r w:rsidR="000B52AD">
        <w:rPr>
          <w:rFonts w:ascii="Times New Roman" w:hAnsi="Times New Roman" w:cs="Times New Roman"/>
          <w:sz w:val="24"/>
          <w:szCs w:val="24"/>
        </w:rPr>
        <w:t>balanceo</w:t>
      </w:r>
      <w:r w:rsidRPr="00F93DE8">
        <w:rPr>
          <w:rFonts w:ascii="Times New Roman" w:hAnsi="Times New Roman" w:cs="Times New Roman"/>
          <w:sz w:val="24"/>
          <w:szCs w:val="24"/>
        </w:rPr>
        <w:t xml:space="preserve"> de cuentas, sino una verdadera transformación para romper con el pasado y abrazar los principios republicanos que decimos defender.</w:t>
      </w:r>
    </w:p>
    <w:p w14:paraId="04D2F079" w14:textId="2EC2583F" w:rsidR="00F93DE8" w:rsidRPr="00F93DE8" w:rsidRDefault="00F93DE8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DE8">
        <w:rPr>
          <w:rFonts w:ascii="Times New Roman" w:hAnsi="Times New Roman" w:cs="Times New Roman"/>
          <w:sz w:val="24"/>
          <w:szCs w:val="24"/>
        </w:rPr>
        <w:t>Para entender la urgencia de este cambio, basta con observar nuestra historia tributaria, documentada en archivos que van desde la Real Hacienda</w:t>
      </w:r>
      <w:r w:rsidR="002642B7">
        <w:rPr>
          <w:rFonts w:ascii="Times New Roman" w:hAnsi="Times New Roman" w:cs="Times New Roman"/>
          <w:sz w:val="24"/>
          <w:szCs w:val="24"/>
        </w:rPr>
        <w:t>,</w:t>
      </w:r>
      <w:r w:rsidRPr="00F93DE8">
        <w:rPr>
          <w:rFonts w:ascii="Times New Roman" w:hAnsi="Times New Roman" w:cs="Times New Roman"/>
          <w:sz w:val="24"/>
          <w:szCs w:val="24"/>
        </w:rPr>
        <w:t xml:space="preserve"> la Ga</w:t>
      </w:r>
      <w:r w:rsidR="002642B7">
        <w:rPr>
          <w:rFonts w:ascii="Times New Roman" w:hAnsi="Times New Roman" w:cs="Times New Roman"/>
          <w:sz w:val="24"/>
          <w:szCs w:val="24"/>
        </w:rPr>
        <w:t>c</w:t>
      </w:r>
      <w:r w:rsidRPr="00F93DE8">
        <w:rPr>
          <w:rFonts w:ascii="Times New Roman" w:hAnsi="Times New Roman" w:cs="Times New Roman"/>
          <w:sz w:val="24"/>
          <w:szCs w:val="24"/>
        </w:rPr>
        <w:t>eta de Colombia</w:t>
      </w:r>
      <w:r w:rsidR="002642B7">
        <w:rPr>
          <w:rFonts w:ascii="Times New Roman" w:hAnsi="Times New Roman" w:cs="Times New Roman"/>
          <w:sz w:val="24"/>
          <w:szCs w:val="24"/>
        </w:rPr>
        <w:t xml:space="preserve"> y memorias ministeriales</w:t>
      </w:r>
      <w:r w:rsidRPr="00F93DE8">
        <w:rPr>
          <w:rFonts w:ascii="Times New Roman" w:hAnsi="Times New Roman" w:cs="Times New Roman"/>
          <w:sz w:val="24"/>
          <w:szCs w:val="24"/>
        </w:rPr>
        <w:t xml:space="preserve"> hasta los informes contemporáneos de la CEPAL. La conclusión es contundente: la estructura fundamental de nuestro sistema fiscal apenas ha cambiado. Históricamente, la matriz fiscal colombiana ha descansado sobre tres pilares: los impuestos indirectos, los gravámenes a la minería y las contribuciones laborales. Por el contrario, los impuestos directos, aquellos que gravan la renta y el patrimonio, n</w:t>
      </w:r>
      <w:r w:rsidR="000B52AD">
        <w:rPr>
          <w:rFonts w:ascii="Times New Roman" w:hAnsi="Times New Roman" w:cs="Times New Roman"/>
          <w:sz w:val="24"/>
          <w:szCs w:val="24"/>
        </w:rPr>
        <w:t>o</w:t>
      </w:r>
      <w:r w:rsidRPr="00F93DE8">
        <w:rPr>
          <w:rFonts w:ascii="Times New Roman" w:hAnsi="Times New Roman" w:cs="Times New Roman"/>
          <w:sz w:val="24"/>
          <w:szCs w:val="24"/>
        </w:rPr>
        <w:t xml:space="preserve"> han sido la base de la fiscalidad en el país. Esta dependencia nos ancla a un modelo que ha demostrado ser ineficaz para los desafíos del mundo moderno.</w:t>
      </w:r>
    </w:p>
    <w:p w14:paraId="0EDC74CF" w14:textId="7F569478" w:rsidR="00F93DE8" w:rsidRPr="00F93DE8" w:rsidRDefault="00F93DE8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DE8">
        <w:rPr>
          <w:rFonts w:ascii="Times New Roman" w:hAnsi="Times New Roman" w:cs="Times New Roman"/>
          <w:sz w:val="24"/>
          <w:szCs w:val="24"/>
        </w:rPr>
        <w:t xml:space="preserve">Si viajamos al final de la era colonial, en 1806, las finanzas del virreinato dependían abrumadoramente de los impuestos indirectos, que representaban 49% del recaudo. Estos incluían tributos al consumo y al comercio como la alcabala, los </w:t>
      </w:r>
      <w:r w:rsidR="000B52AD">
        <w:rPr>
          <w:rFonts w:ascii="Times New Roman" w:hAnsi="Times New Roman" w:cs="Times New Roman"/>
          <w:sz w:val="24"/>
          <w:szCs w:val="24"/>
        </w:rPr>
        <w:t>derechos</w:t>
      </w:r>
      <w:r w:rsidRPr="00F93DE8">
        <w:rPr>
          <w:rFonts w:ascii="Times New Roman" w:hAnsi="Times New Roman" w:cs="Times New Roman"/>
          <w:sz w:val="24"/>
          <w:szCs w:val="24"/>
        </w:rPr>
        <w:t xml:space="preserve"> de aduana, la avería, la sisa y los monopolios sobre el tabaco y el aguardiente. La minería, a través de figuras como los quintos</w:t>
      </w:r>
      <w:r w:rsidR="00F97F98">
        <w:rPr>
          <w:rFonts w:ascii="Times New Roman" w:hAnsi="Times New Roman" w:cs="Times New Roman"/>
          <w:sz w:val="24"/>
          <w:szCs w:val="24"/>
        </w:rPr>
        <w:t xml:space="preserve"> de oro,</w:t>
      </w:r>
      <w:r w:rsidRPr="00F93DE8">
        <w:rPr>
          <w:rFonts w:ascii="Times New Roman" w:hAnsi="Times New Roman" w:cs="Times New Roman"/>
          <w:sz w:val="24"/>
          <w:szCs w:val="24"/>
        </w:rPr>
        <w:t xml:space="preserve"> la fundición y los ingresos de la casa de moneda, aportaba otro 13%. Mientras tanto, los impuestos directos, como los tributos de indios y los diezmos, apenas constituían 6% de los ingresos. Las contribuciones laborales, como las medias anatas</w:t>
      </w:r>
      <w:r w:rsidR="000B52AD">
        <w:rPr>
          <w:rFonts w:ascii="Times New Roman" w:hAnsi="Times New Roman" w:cs="Times New Roman"/>
          <w:sz w:val="24"/>
          <w:szCs w:val="24"/>
        </w:rPr>
        <w:t>, montepíos e inválidos</w:t>
      </w:r>
      <w:r w:rsidRPr="00F93DE8">
        <w:rPr>
          <w:rFonts w:ascii="Times New Roman" w:hAnsi="Times New Roman" w:cs="Times New Roman"/>
          <w:sz w:val="24"/>
          <w:szCs w:val="24"/>
        </w:rPr>
        <w:t>, completaban el panorama con un modesto 3%.</w:t>
      </w:r>
    </w:p>
    <w:p w14:paraId="3A79F541" w14:textId="2A2D00BE" w:rsidR="00F93DE8" w:rsidRDefault="00F93DE8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DE8">
        <w:rPr>
          <w:rFonts w:ascii="Times New Roman" w:hAnsi="Times New Roman" w:cs="Times New Roman"/>
          <w:sz w:val="24"/>
          <w:szCs w:val="24"/>
        </w:rPr>
        <w:t xml:space="preserve">Con la llegada de la República se </w:t>
      </w:r>
      <w:r w:rsidR="00686B12">
        <w:rPr>
          <w:rFonts w:ascii="Times New Roman" w:hAnsi="Times New Roman" w:cs="Times New Roman"/>
          <w:sz w:val="24"/>
          <w:szCs w:val="24"/>
        </w:rPr>
        <w:t>esperó</w:t>
      </w:r>
      <w:r w:rsidRPr="00F93DE8">
        <w:rPr>
          <w:rFonts w:ascii="Times New Roman" w:hAnsi="Times New Roman" w:cs="Times New Roman"/>
          <w:sz w:val="24"/>
          <w:szCs w:val="24"/>
        </w:rPr>
        <w:t xml:space="preserve"> una ruptura, pero los datos de 1822 muestran más continuidad que cambio. Aunque el peso de los impuestos indirectos se redujo al 7,9% (con </w:t>
      </w:r>
      <w:r w:rsidRPr="00F93DE8">
        <w:rPr>
          <w:rFonts w:ascii="Times New Roman" w:hAnsi="Times New Roman" w:cs="Times New Roman"/>
          <w:sz w:val="24"/>
          <w:szCs w:val="24"/>
        </w:rPr>
        <w:lastRenderedPageBreak/>
        <w:t xml:space="preserve">figuras como las alcabalas y los monopolios de aguardiente y tabaco), la minería se disparó hasta convertirse en la principal fuente de ingresos con un 27,4%, manteniendo las mismas </w:t>
      </w:r>
      <w:r w:rsidR="000C51F1">
        <w:rPr>
          <w:rFonts w:ascii="Times New Roman" w:hAnsi="Times New Roman" w:cs="Times New Roman"/>
          <w:sz w:val="24"/>
          <w:szCs w:val="24"/>
        </w:rPr>
        <w:t>fuentes</w:t>
      </w:r>
      <w:r w:rsidRPr="00F93DE8">
        <w:rPr>
          <w:rFonts w:ascii="Times New Roman" w:hAnsi="Times New Roman" w:cs="Times New Roman"/>
          <w:sz w:val="24"/>
          <w:szCs w:val="24"/>
        </w:rPr>
        <w:t xml:space="preserve"> coloniales como los quintos</w:t>
      </w:r>
      <w:r w:rsidR="000C51F1">
        <w:rPr>
          <w:rFonts w:ascii="Times New Roman" w:hAnsi="Times New Roman" w:cs="Times New Roman"/>
          <w:sz w:val="24"/>
          <w:szCs w:val="24"/>
        </w:rPr>
        <w:t>,</w:t>
      </w:r>
      <w:r w:rsidRPr="00F93DE8">
        <w:rPr>
          <w:rFonts w:ascii="Times New Roman" w:hAnsi="Times New Roman" w:cs="Times New Roman"/>
          <w:sz w:val="24"/>
          <w:szCs w:val="24"/>
        </w:rPr>
        <w:t xml:space="preserve"> casa de moneda</w:t>
      </w:r>
      <w:r w:rsidR="000C51F1">
        <w:rPr>
          <w:rFonts w:ascii="Times New Roman" w:hAnsi="Times New Roman" w:cs="Times New Roman"/>
          <w:sz w:val="24"/>
          <w:szCs w:val="24"/>
        </w:rPr>
        <w:t xml:space="preserve"> y salinas</w:t>
      </w:r>
      <w:r w:rsidRPr="00F93DE8">
        <w:rPr>
          <w:rFonts w:ascii="Times New Roman" w:hAnsi="Times New Roman" w:cs="Times New Roman"/>
          <w:sz w:val="24"/>
          <w:szCs w:val="24"/>
        </w:rPr>
        <w:t xml:space="preserve">. Los impuestos directos, a pesar de la creación de </w:t>
      </w:r>
      <w:r w:rsidR="003039B5">
        <w:rPr>
          <w:rFonts w:ascii="Times New Roman" w:hAnsi="Times New Roman" w:cs="Times New Roman"/>
          <w:sz w:val="24"/>
          <w:szCs w:val="24"/>
        </w:rPr>
        <w:t>una</w:t>
      </w:r>
      <w:r w:rsidRPr="00F93DE8">
        <w:rPr>
          <w:rFonts w:ascii="Times New Roman" w:hAnsi="Times New Roman" w:cs="Times New Roman"/>
          <w:sz w:val="24"/>
          <w:szCs w:val="24"/>
        </w:rPr>
        <w:t xml:space="preserve"> contribución directa en 1821, se mantuvieron estancados en un 6,6%. La estructura fundamental seguía intacta: la nueva república se financiaba de la misma manera que </w:t>
      </w:r>
      <w:r w:rsidR="000C51F1">
        <w:rPr>
          <w:rFonts w:ascii="Times New Roman" w:hAnsi="Times New Roman" w:cs="Times New Roman"/>
          <w:sz w:val="24"/>
          <w:szCs w:val="24"/>
        </w:rPr>
        <w:t>lo hizo el virreinato</w:t>
      </w:r>
      <w:r w:rsidRPr="00F93DE8">
        <w:rPr>
          <w:rFonts w:ascii="Times New Roman" w:hAnsi="Times New Roman" w:cs="Times New Roman"/>
          <w:sz w:val="24"/>
          <w:szCs w:val="24"/>
        </w:rPr>
        <w:t>.</w:t>
      </w:r>
      <w:r w:rsidR="003039B5">
        <w:rPr>
          <w:rFonts w:ascii="Times New Roman" w:hAnsi="Times New Roman" w:cs="Times New Roman"/>
          <w:sz w:val="24"/>
          <w:szCs w:val="24"/>
        </w:rPr>
        <w:t xml:space="preserve"> Para rematar, la contribución directa fue sepultada antes de la disolución de Colombia en 1830. </w:t>
      </w:r>
    </w:p>
    <w:p w14:paraId="20E090EB" w14:textId="7041CA82" w:rsidR="002642B7" w:rsidRPr="00F93DE8" w:rsidRDefault="002642B7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 reformas liberales de mediados de</w:t>
      </w:r>
      <w:r w:rsidR="002D40A4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siglo</w:t>
      </w:r>
      <w:r w:rsidR="002D40A4">
        <w:rPr>
          <w:rFonts w:ascii="Times New Roman" w:hAnsi="Times New Roman" w:cs="Times New Roman"/>
          <w:sz w:val="24"/>
          <w:szCs w:val="24"/>
        </w:rPr>
        <w:t xml:space="preserve"> XIX</w:t>
      </w:r>
      <w:r w:rsidR="004D6E26">
        <w:rPr>
          <w:rFonts w:ascii="Times New Roman" w:hAnsi="Times New Roman" w:cs="Times New Roman"/>
          <w:sz w:val="24"/>
          <w:szCs w:val="24"/>
        </w:rPr>
        <w:t xml:space="preserve"> desmontaron </w:t>
      </w:r>
      <w:r w:rsidR="00E70822">
        <w:rPr>
          <w:rFonts w:ascii="Times New Roman" w:hAnsi="Times New Roman" w:cs="Times New Roman"/>
          <w:sz w:val="24"/>
          <w:szCs w:val="24"/>
        </w:rPr>
        <w:t>vestigios</w:t>
      </w:r>
      <w:r w:rsidR="004D6E26">
        <w:rPr>
          <w:rFonts w:ascii="Times New Roman" w:hAnsi="Times New Roman" w:cs="Times New Roman"/>
          <w:sz w:val="24"/>
          <w:szCs w:val="24"/>
        </w:rPr>
        <w:t xml:space="preserve"> coloniales como el </w:t>
      </w:r>
      <w:r w:rsidR="00E70822">
        <w:rPr>
          <w:rFonts w:ascii="Times New Roman" w:hAnsi="Times New Roman" w:cs="Times New Roman"/>
          <w:sz w:val="24"/>
          <w:szCs w:val="24"/>
        </w:rPr>
        <w:t xml:space="preserve">estanco de </w:t>
      </w:r>
      <w:r w:rsidR="004D6E26">
        <w:rPr>
          <w:rFonts w:ascii="Times New Roman" w:hAnsi="Times New Roman" w:cs="Times New Roman"/>
          <w:sz w:val="24"/>
          <w:szCs w:val="24"/>
        </w:rPr>
        <w:t xml:space="preserve">tabaco </w:t>
      </w:r>
      <w:r w:rsidR="00A91218">
        <w:rPr>
          <w:rFonts w:ascii="Times New Roman" w:hAnsi="Times New Roman" w:cs="Times New Roman"/>
          <w:sz w:val="24"/>
          <w:szCs w:val="24"/>
        </w:rPr>
        <w:t xml:space="preserve">y </w:t>
      </w:r>
      <w:r w:rsidR="002D40A4">
        <w:rPr>
          <w:rFonts w:ascii="Times New Roman" w:hAnsi="Times New Roman" w:cs="Times New Roman"/>
          <w:sz w:val="24"/>
          <w:szCs w:val="24"/>
        </w:rPr>
        <w:t xml:space="preserve">las </w:t>
      </w:r>
      <w:r w:rsidR="00A91218">
        <w:rPr>
          <w:rFonts w:ascii="Times New Roman" w:hAnsi="Times New Roman" w:cs="Times New Roman"/>
          <w:sz w:val="24"/>
          <w:szCs w:val="24"/>
        </w:rPr>
        <w:t>aduanas interiores, pero fracasaron nuevamente en implantar un impuesto directo a nivel nacional.</w:t>
      </w:r>
      <w:r w:rsidR="00137B38">
        <w:rPr>
          <w:rFonts w:ascii="Times New Roman" w:hAnsi="Times New Roman" w:cs="Times New Roman"/>
          <w:sz w:val="24"/>
          <w:szCs w:val="24"/>
        </w:rPr>
        <w:t xml:space="preserve"> De suerte que para 1880-1885 el Estado colombiano dependía de los impuestos indirectos (76,62%)</w:t>
      </w:r>
      <w:r w:rsidR="002D40A4">
        <w:rPr>
          <w:rFonts w:ascii="Times New Roman" w:hAnsi="Times New Roman" w:cs="Times New Roman"/>
          <w:sz w:val="24"/>
          <w:szCs w:val="24"/>
        </w:rPr>
        <w:t>, en su mayoría derechos aduaneros,</w:t>
      </w:r>
      <w:r w:rsidR="00137B38">
        <w:rPr>
          <w:rFonts w:ascii="Times New Roman" w:hAnsi="Times New Roman" w:cs="Times New Roman"/>
          <w:sz w:val="24"/>
          <w:szCs w:val="24"/>
        </w:rPr>
        <w:t xml:space="preserve"> y los gravámenes sobre la minería (20,7%).</w:t>
      </w:r>
      <w:r w:rsidR="002B6102">
        <w:rPr>
          <w:rFonts w:ascii="Times New Roman" w:hAnsi="Times New Roman" w:cs="Times New Roman"/>
          <w:sz w:val="24"/>
          <w:szCs w:val="24"/>
        </w:rPr>
        <w:t xml:space="preserve"> </w:t>
      </w:r>
      <w:r w:rsidR="002D40A4">
        <w:rPr>
          <w:rFonts w:ascii="Times New Roman" w:hAnsi="Times New Roman" w:cs="Times New Roman"/>
          <w:sz w:val="24"/>
          <w:szCs w:val="24"/>
        </w:rPr>
        <w:t>Un siglo después</w:t>
      </w:r>
      <w:r w:rsidR="002B6102">
        <w:rPr>
          <w:rFonts w:ascii="Times New Roman" w:hAnsi="Times New Roman" w:cs="Times New Roman"/>
          <w:sz w:val="24"/>
          <w:szCs w:val="24"/>
        </w:rPr>
        <w:t xml:space="preserve"> </w:t>
      </w:r>
      <w:r w:rsidR="002D40A4">
        <w:rPr>
          <w:rFonts w:ascii="Times New Roman" w:hAnsi="Times New Roman" w:cs="Times New Roman"/>
          <w:sz w:val="24"/>
          <w:szCs w:val="24"/>
        </w:rPr>
        <w:t>(</w:t>
      </w:r>
      <w:r w:rsidR="002B6102">
        <w:rPr>
          <w:rFonts w:ascii="Times New Roman" w:hAnsi="Times New Roman" w:cs="Times New Roman"/>
          <w:sz w:val="24"/>
          <w:szCs w:val="24"/>
        </w:rPr>
        <w:t>1972-1973</w:t>
      </w:r>
      <w:r w:rsidR="002D40A4">
        <w:rPr>
          <w:rFonts w:ascii="Times New Roman" w:hAnsi="Times New Roman" w:cs="Times New Roman"/>
          <w:sz w:val="24"/>
          <w:szCs w:val="24"/>
        </w:rPr>
        <w:t>)</w:t>
      </w:r>
      <w:r w:rsidR="000C7EAF">
        <w:rPr>
          <w:rFonts w:ascii="Times New Roman" w:hAnsi="Times New Roman" w:cs="Times New Roman"/>
          <w:sz w:val="24"/>
          <w:szCs w:val="24"/>
        </w:rPr>
        <w:t>,</w:t>
      </w:r>
      <w:r w:rsidR="002B6102">
        <w:rPr>
          <w:rFonts w:ascii="Times New Roman" w:hAnsi="Times New Roman" w:cs="Times New Roman"/>
          <w:sz w:val="24"/>
          <w:szCs w:val="24"/>
        </w:rPr>
        <w:t xml:space="preserve"> la </w:t>
      </w:r>
      <w:r w:rsidR="000C7EAF">
        <w:rPr>
          <w:rFonts w:ascii="Times New Roman" w:hAnsi="Times New Roman" w:cs="Times New Roman"/>
          <w:sz w:val="24"/>
          <w:szCs w:val="24"/>
        </w:rPr>
        <w:t>fiscalidad colombiana estaba equilibrada</w:t>
      </w:r>
      <w:r w:rsidR="00F02F51">
        <w:rPr>
          <w:rFonts w:ascii="Times New Roman" w:hAnsi="Times New Roman" w:cs="Times New Roman"/>
          <w:sz w:val="24"/>
          <w:szCs w:val="24"/>
        </w:rPr>
        <w:t xml:space="preserve"> entre tributos directos (49%) e indirectos (50%)</w:t>
      </w:r>
      <w:r w:rsidR="000C7EAF">
        <w:rPr>
          <w:rFonts w:ascii="Times New Roman" w:hAnsi="Times New Roman" w:cs="Times New Roman"/>
          <w:sz w:val="24"/>
          <w:szCs w:val="24"/>
        </w:rPr>
        <w:t>, producto de la introducción del impuesto sobre la renta (1918) y el IVA (1963)</w:t>
      </w:r>
      <w:r w:rsidR="00E70822">
        <w:rPr>
          <w:rFonts w:ascii="Times New Roman" w:hAnsi="Times New Roman" w:cs="Times New Roman"/>
          <w:sz w:val="24"/>
          <w:szCs w:val="24"/>
        </w:rPr>
        <w:t>.</w:t>
      </w:r>
      <w:r w:rsidR="00020260">
        <w:rPr>
          <w:rFonts w:ascii="Times New Roman" w:hAnsi="Times New Roman" w:cs="Times New Roman"/>
          <w:sz w:val="24"/>
          <w:szCs w:val="24"/>
        </w:rPr>
        <w:t xml:space="preserve"> </w:t>
      </w:r>
      <w:r w:rsidR="00E70822">
        <w:rPr>
          <w:rFonts w:ascii="Times New Roman" w:hAnsi="Times New Roman" w:cs="Times New Roman"/>
          <w:sz w:val="24"/>
          <w:szCs w:val="24"/>
        </w:rPr>
        <w:t>No obstante, este</w:t>
      </w:r>
      <w:r w:rsidR="00020260">
        <w:rPr>
          <w:rFonts w:ascii="Times New Roman" w:hAnsi="Times New Roman" w:cs="Times New Roman"/>
          <w:sz w:val="24"/>
          <w:szCs w:val="24"/>
        </w:rPr>
        <w:t xml:space="preserve"> balance no </w:t>
      </w:r>
      <w:r w:rsidR="00E70822">
        <w:rPr>
          <w:rFonts w:ascii="Times New Roman" w:hAnsi="Times New Roman" w:cs="Times New Roman"/>
          <w:sz w:val="24"/>
          <w:szCs w:val="24"/>
        </w:rPr>
        <w:t>dur</w:t>
      </w:r>
      <w:r w:rsidR="003039B5">
        <w:rPr>
          <w:rFonts w:ascii="Times New Roman" w:hAnsi="Times New Roman" w:cs="Times New Roman"/>
          <w:sz w:val="24"/>
          <w:szCs w:val="24"/>
        </w:rPr>
        <w:t>ó</w:t>
      </w:r>
      <w:r w:rsidR="00E70822">
        <w:rPr>
          <w:rFonts w:ascii="Times New Roman" w:hAnsi="Times New Roman" w:cs="Times New Roman"/>
          <w:sz w:val="24"/>
          <w:szCs w:val="24"/>
        </w:rPr>
        <w:t xml:space="preserve"> mucho tiempo</w:t>
      </w:r>
      <w:r w:rsidR="00020260">
        <w:rPr>
          <w:rFonts w:ascii="Times New Roman" w:hAnsi="Times New Roman" w:cs="Times New Roman"/>
          <w:sz w:val="24"/>
          <w:szCs w:val="24"/>
        </w:rPr>
        <w:t>…</w:t>
      </w:r>
    </w:p>
    <w:p w14:paraId="4B0F2691" w14:textId="5587A1A1" w:rsidR="00D82A68" w:rsidRPr="00F93DE8" w:rsidRDefault="001675F9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la actualidad (datos de 2022), l</w:t>
      </w:r>
      <w:r w:rsidR="00F93DE8" w:rsidRPr="00F93DE8">
        <w:rPr>
          <w:rFonts w:ascii="Times New Roman" w:hAnsi="Times New Roman" w:cs="Times New Roman"/>
          <w:sz w:val="24"/>
          <w:szCs w:val="24"/>
        </w:rPr>
        <w:t>os impuestos indirectos</w:t>
      </w:r>
      <w:r w:rsidR="00F02F51">
        <w:rPr>
          <w:rFonts w:ascii="Times New Roman" w:hAnsi="Times New Roman" w:cs="Times New Roman"/>
          <w:sz w:val="24"/>
          <w:szCs w:val="24"/>
        </w:rPr>
        <w:t xml:space="preserve"> </w:t>
      </w:r>
      <w:r w:rsidR="00F93DE8" w:rsidRPr="00F93DE8">
        <w:rPr>
          <w:rFonts w:ascii="Times New Roman" w:hAnsi="Times New Roman" w:cs="Times New Roman"/>
          <w:sz w:val="24"/>
          <w:szCs w:val="24"/>
        </w:rPr>
        <w:t>siguen representando una porción enorme del recaudo, con un 35%. La minería, con sus regalías y gravámenes a la producción</w:t>
      </w:r>
      <w:r w:rsidR="00EA36B5">
        <w:rPr>
          <w:rFonts w:ascii="Times New Roman" w:hAnsi="Times New Roman" w:cs="Times New Roman"/>
          <w:sz w:val="24"/>
          <w:szCs w:val="24"/>
        </w:rPr>
        <w:t xml:space="preserve"> de combustibles fósiles</w:t>
      </w:r>
      <w:r w:rsidR="00F93DE8" w:rsidRPr="00F93DE8">
        <w:rPr>
          <w:rFonts w:ascii="Times New Roman" w:hAnsi="Times New Roman" w:cs="Times New Roman"/>
          <w:sz w:val="24"/>
          <w:szCs w:val="24"/>
        </w:rPr>
        <w:t xml:space="preserve">, aporta un 15%, y las contribuciones laborales sobre los trabajadores formales e independientes suman un 12%. Los impuestos directos, principalmente renta y patrimonio, </w:t>
      </w:r>
      <w:r w:rsidR="00925D22">
        <w:rPr>
          <w:rFonts w:ascii="Times New Roman" w:hAnsi="Times New Roman" w:cs="Times New Roman"/>
          <w:sz w:val="24"/>
          <w:szCs w:val="24"/>
        </w:rPr>
        <w:t>representan</w:t>
      </w:r>
      <w:r w:rsidR="00F93DE8" w:rsidRPr="00F93DE8">
        <w:rPr>
          <w:rFonts w:ascii="Times New Roman" w:hAnsi="Times New Roman" w:cs="Times New Roman"/>
          <w:sz w:val="24"/>
          <w:szCs w:val="24"/>
        </w:rPr>
        <w:t xml:space="preserve"> 34%, pero no logran ser la columna vertebral del sistema. En esencia, seguimos dependiendo de un trípode fiscal (indirectos, minería y trabajo) que ha definido nuestra historia. La herencia es tan profunda</w:t>
      </w:r>
      <w:r w:rsidR="00B27560">
        <w:rPr>
          <w:rFonts w:ascii="Times New Roman" w:hAnsi="Times New Roman" w:cs="Times New Roman"/>
          <w:sz w:val="24"/>
          <w:szCs w:val="24"/>
        </w:rPr>
        <w:t>,</w:t>
      </w:r>
      <w:r w:rsidR="00F93DE8" w:rsidRPr="00F93DE8">
        <w:rPr>
          <w:rFonts w:ascii="Times New Roman" w:hAnsi="Times New Roman" w:cs="Times New Roman"/>
          <w:sz w:val="24"/>
          <w:szCs w:val="24"/>
        </w:rPr>
        <w:t xml:space="preserve"> que incluso a nivel departamental las principales fuentes de ingreso siguen siendo el aguardiente</w:t>
      </w:r>
      <w:r w:rsidR="001744A9">
        <w:rPr>
          <w:rFonts w:ascii="Times New Roman" w:hAnsi="Times New Roman" w:cs="Times New Roman"/>
          <w:sz w:val="24"/>
          <w:szCs w:val="24"/>
        </w:rPr>
        <w:t>, el tabaco</w:t>
      </w:r>
      <w:r w:rsidR="00F93DE8" w:rsidRPr="00F93DE8">
        <w:rPr>
          <w:rFonts w:ascii="Times New Roman" w:hAnsi="Times New Roman" w:cs="Times New Roman"/>
          <w:sz w:val="24"/>
          <w:szCs w:val="24"/>
        </w:rPr>
        <w:t xml:space="preserve"> y los juegos de azar, ¡como en la colonia!</w:t>
      </w:r>
    </w:p>
    <w:p w14:paraId="189EE6FC" w14:textId="6FC3FF89" w:rsidR="00F93DE8" w:rsidRDefault="00F93DE8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DE8">
        <w:rPr>
          <w:rFonts w:ascii="Times New Roman" w:hAnsi="Times New Roman" w:cs="Times New Roman"/>
          <w:sz w:val="24"/>
          <w:szCs w:val="24"/>
        </w:rPr>
        <w:t xml:space="preserve">Esta persistencia histórica no sería más que </w:t>
      </w:r>
      <w:r w:rsidR="00B47379">
        <w:rPr>
          <w:rFonts w:ascii="Times New Roman" w:hAnsi="Times New Roman" w:cs="Times New Roman"/>
          <w:sz w:val="24"/>
          <w:szCs w:val="24"/>
        </w:rPr>
        <w:t>un dato erudito</w:t>
      </w:r>
      <w:r w:rsidRPr="00F93DE8">
        <w:rPr>
          <w:rFonts w:ascii="Times New Roman" w:hAnsi="Times New Roman" w:cs="Times New Roman"/>
          <w:sz w:val="24"/>
          <w:szCs w:val="24"/>
        </w:rPr>
        <w:t xml:space="preserve"> si no tuviera consecuencias </w:t>
      </w:r>
      <w:r w:rsidR="00B47379">
        <w:rPr>
          <w:rFonts w:ascii="Times New Roman" w:hAnsi="Times New Roman" w:cs="Times New Roman"/>
          <w:sz w:val="24"/>
          <w:szCs w:val="24"/>
        </w:rPr>
        <w:t>prácticas sobre la población</w:t>
      </w:r>
      <w:r w:rsidRPr="00F93DE8">
        <w:rPr>
          <w:rFonts w:ascii="Times New Roman" w:hAnsi="Times New Roman" w:cs="Times New Roman"/>
          <w:sz w:val="24"/>
          <w:szCs w:val="24"/>
        </w:rPr>
        <w:t xml:space="preserve">. A nivel mundial, los sistemas fiscales han evolucionado a través de tres grandes fases: primero, financiar los gastos del Estado (siglos XVII-XVIII); segundo, fomentar las actividades económicas (siglo XIX); y tercero, y más importante para una democracia moderna, reducir la desigualdad (siglo XX). Nuestro sistema fiscal falla estrepitosamente en las tres. A duras penas cumple con la primera función, la de financiar los </w:t>
      </w:r>
      <w:r w:rsidRPr="00F93DE8">
        <w:rPr>
          <w:rFonts w:ascii="Times New Roman" w:hAnsi="Times New Roman" w:cs="Times New Roman"/>
          <w:sz w:val="24"/>
          <w:szCs w:val="24"/>
        </w:rPr>
        <w:lastRenderedPageBreak/>
        <w:t xml:space="preserve">gastos públicos. La segunda, la de fomentar la economía, no forma parte de una </w:t>
      </w:r>
      <w:r w:rsidR="002E55F8">
        <w:rPr>
          <w:rFonts w:ascii="Times New Roman" w:hAnsi="Times New Roman" w:cs="Times New Roman"/>
          <w:sz w:val="24"/>
          <w:szCs w:val="24"/>
        </w:rPr>
        <w:t>planificación</w:t>
      </w:r>
      <w:r w:rsidRPr="00F93DE8">
        <w:rPr>
          <w:rFonts w:ascii="Times New Roman" w:hAnsi="Times New Roman" w:cs="Times New Roman"/>
          <w:sz w:val="24"/>
          <w:szCs w:val="24"/>
        </w:rPr>
        <w:t xml:space="preserve"> de largo plazo, sino que se subordina a compromisos políticos </w:t>
      </w:r>
      <w:r w:rsidR="002E55F8">
        <w:rPr>
          <w:rFonts w:ascii="Times New Roman" w:hAnsi="Times New Roman" w:cs="Times New Roman"/>
          <w:sz w:val="24"/>
          <w:szCs w:val="24"/>
        </w:rPr>
        <w:t>de los</w:t>
      </w:r>
      <w:r w:rsidRPr="00F93DE8">
        <w:rPr>
          <w:rFonts w:ascii="Times New Roman" w:hAnsi="Times New Roman" w:cs="Times New Roman"/>
          <w:sz w:val="24"/>
          <w:szCs w:val="24"/>
        </w:rPr>
        <w:t xml:space="preserve"> congresistas</w:t>
      </w:r>
      <w:r w:rsidR="002E55F8">
        <w:rPr>
          <w:rFonts w:ascii="Times New Roman" w:hAnsi="Times New Roman" w:cs="Times New Roman"/>
          <w:sz w:val="24"/>
          <w:szCs w:val="24"/>
        </w:rPr>
        <w:t>, quienes ejercen el poder fiscal del Estado</w:t>
      </w:r>
      <w:r w:rsidRPr="00F93DE8">
        <w:rPr>
          <w:rFonts w:ascii="Times New Roman" w:hAnsi="Times New Roman" w:cs="Times New Roman"/>
          <w:sz w:val="24"/>
          <w:szCs w:val="24"/>
        </w:rPr>
        <w:t>. En la tercera y crucial función, la de reducir la desigualdad, el sistema sencillamente no funciona.</w:t>
      </w:r>
    </w:p>
    <w:p w14:paraId="66E4D04B" w14:textId="59F4A0DF" w:rsidR="00914D5D" w:rsidRPr="00F93DE8" w:rsidRDefault="00914D5D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40146DC7" wp14:editId="1D922F0D">
            <wp:extent cx="5612130" cy="3367277"/>
            <wp:effectExtent l="0" t="0" r="7620" b="5080"/>
            <wp:docPr id="30693921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939217" name="Imagen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367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0F711" w14:textId="4F88730F" w:rsidR="00F93DE8" w:rsidRPr="00F93DE8" w:rsidRDefault="00F93DE8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DE8">
        <w:rPr>
          <w:rFonts w:ascii="Times New Roman" w:hAnsi="Times New Roman" w:cs="Times New Roman"/>
          <w:sz w:val="24"/>
          <w:szCs w:val="24"/>
        </w:rPr>
        <w:t xml:space="preserve">La evidencia es irrefutable. Según datos de la </w:t>
      </w:r>
      <w:proofErr w:type="spellStart"/>
      <w:r w:rsidRPr="00F93DE8">
        <w:rPr>
          <w:rFonts w:ascii="Times New Roman" w:hAnsi="Times New Roman" w:cs="Times New Roman"/>
          <w:sz w:val="24"/>
          <w:szCs w:val="24"/>
        </w:rPr>
        <w:t>OECD</w:t>
      </w:r>
      <w:proofErr w:type="spellEnd"/>
      <w:r w:rsidRPr="00F93DE8">
        <w:rPr>
          <w:rFonts w:ascii="Times New Roman" w:hAnsi="Times New Roman" w:cs="Times New Roman"/>
          <w:sz w:val="24"/>
          <w:szCs w:val="24"/>
        </w:rPr>
        <w:t xml:space="preserve">, la desigualdad de ingresos en Colombia es prácticamente la misma antes y después de la intervención del Estado a través de impuestos. Esto significa que nuestro sistema tributario tiene un efecto nulo sobre la desigualdad, una falla </w:t>
      </w:r>
      <w:r w:rsidR="006B64F9">
        <w:rPr>
          <w:rFonts w:ascii="Times New Roman" w:hAnsi="Times New Roman" w:cs="Times New Roman"/>
          <w:sz w:val="24"/>
          <w:szCs w:val="24"/>
        </w:rPr>
        <w:t>crítica</w:t>
      </w:r>
      <w:r w:rsidRPr="00F93DE8">
        <w:rPr>
          <w:rFonts w:ascii="Times New Roman" w:hAnsi="Times New Roman" w:cs="Times New Roman"/>
          <w:sz w:val="24"/>
          <w:szCs w:val="24"/>
        </w:rPr>
        <w:t xml:space="preserve"> para un país con una de las brechas entre ricos y pobres más amplias del mundo. La razón es clara: al depender de los impuestos indirectos, </w:t>
      </w:r>
      <w:r w:rsidR="006B64F9">
        <w:rPr>
          <w:rFonts w:ascii="Times New Roman" w:hAnsi="Times New Roman" w:cs="Times New Roman"/>
          <w:sz w:val="24"/>
          <w:szCs w:val="24"/>
        </w:rPr>
        <w:t>el Estado</w:t>
      </w:r>
      <w:r w:rsidRPr="00F93DE8">
        <w:rPr>
          <w:rFonts w:ascii="Times New Roman" w:hAnsi="Times New Roman" w:cs="Times New Roman"/>
          <w:sz w:val="24"/>
          <w:szCs w:val="24"/>
        </w:rPr>
        <w:t xml:space="preserve"> castiga desproporcionadamente a los más pobres, quienes invierten un porcentaje mucho mayor de sus ingresos en el consumo de bienes y servicios gravados.</w:t>
      </w:r>
    </w:p>
    <w:p w14:paraId="7BD792FB" w14:textId="439D5422" w:rsidR="00F93DE8" w:rsidRPr="00F93DE8" w:rsidRDefault="00F93DE8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DE8">
        <w:rPr>
          <w:rFonts w:ascii="Times New Roman" w:hAnsi="Times New Roman" w:cs="Times New Roman"/>
          <w:sz w:val="24"/>
          <w:szCs w:val="24"/>
        </w:rPr>
        <w:t>El camino a seguir no es un misterio. Aunque el sueño ilustrado de una contribución única no se cumplió en ninguna parte</w:t>
      </w:r>
      <w:r w:rsidR="006B64F9">
        <w:rPr>
          <w:rFonts w:ascii="Times New Roman" w:hAnsi="Times New Roman" w:cs="Times New Roman"/>
          <w:sz w:val="24"/>
          <w:szCs w:val="24"/>
        </w:rPr>
        <w:t xml:space="preserve"> del planeta</w:t>
      </w:r>
      <w:r w:rsidRPr="00F93DE8">
        <w:rPr>
          <w:rFonts w:ascii="Times New Roman" w:hAnsi="Times New Roman" w:cs="Times New Roman"/>
          <w:sz w:val="24"/>
          <w:szCs w:val="24"/>
        </w:rPr>
        <w:t xml:space="preserve">, los países que lograron modernizar sus estructuras fiscales lo hicieron concentrando la carga tributaria en los impuestos directos y progresivos. Este es el principio republicano fundamental que hemos ignorado: cada ciudadano debe aportar a la sociedad conforme con su ingreso, sin excepciones. En Colombia, en cambio, hemos alimentado un sistema lleno de prerrogativas y evasión, </w:t>
      </w:r>
      <w:r w:rsidRPr="00F93DE8">
        <w:rPr>
          <w:rFonts w:ascii="Times New Roman" w:hAnsi="Times New Roman" w:cs="Times New Roman"/>
          <w:sz w:val="24"/>
          <w:szCs w:val="24"/>
        </w:rPr>
        <w:lastRenderedPageBreak/>
        <w:t xml:space="preserve">promoviendo una </w:t>
      </w:r>
      <w:r w:rsidR="005633BA">
        <w:rPr>
          <w:rFonts w:ascii="Times New Roman" w:hAnsi="Times New Roman" w:cs="Times New Roman"/>
          <w:sz w:val="24"/>
          <w:szCs w:val="24"/>
        </w:rPr>
        <w:t>“</w:t>
      </w:r>
      <w:r w:rsidRPr="00F93DE8">
        <w:rPr>
          <w:rFonts w:ascii="Times New Roman" w:hAnsi="Times New Roman" w:cs="Times New Roman"/>
          <w:sz w:val="24"/>
          <w:szCs w:val="24"/>
        </w:rPr>
        <w:t>cultura de gorrones</w:t>
      </w:r>
      <w:r w:rsidR="005633BA">
        <w:rPr>
          <w:rFonts w:ascii="Times New Roman" w:hAnsi="Times New Roman" w:cs="Times New Roman"/>
          <w:sz w:val="24"/>
          <w:szCs w:val="24"/>
        </w:rPr>
        <w:t>”</w:t>
      </w:r>
      <w:r w:rsidRPr="00F93DE8">
        <w:rPr>
          <w:rFonts w:ascii="Times New Roman" w:hAnsi="Times New Roman" w:cs="Times New Roman"/>
          <w:sz w:val="24"/>
          <w:szCs w:val="24"/>
        </w:rPr>
        <w:t xml:space="preserve"> donde muchos quieren beneficios sociales sin pagar por ellos.</w:t>
      </w:r>
    </w:p>
    <w:p w14:paraId="6F6E63A6" w14:textId="303F5FF0" w:rsidR="004B4F19" w:rsidRDefault="00F93DE8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DE8">
        <w:rPr>
          <w:rFonts w:ascii="Times New Roman" w:hAnsi="Times New Roman" w:cs="Times New Roman"/>
          <w:sz w:val="24"/>
          <w:szCs w:val="24"/>
        </w:rPr>
        <w:t>Una reforma tributaria verdaderamente estructural debe, por</w:t>
      </w:r>
      <w:r w:rsidR="003378F4">
        <w:rPr>
          <w:rFonts w:ascii="Times New Roman" w:hAnsi="Times New Roman" w:cs="Times New Roman"/>
          <w:sz w:val="24"/>
          <w:szCs w:val="24"/>
        </w:rPr>
        <w:t xml:space="preserve"> lo</w:t>
      </w:r>
      <w:r w:rsidRPr="00F93DE8">
        <w:rPr>
          <w:rFonts w:ascii="Times New Roman" w:hAnsi="Times New Roman" w:cs="Times New Roman"/>
          <w:sz w:val="24"/>
          <w:szCs w:val="24"/>
        </w:rPr>
        <w:t xml:space="preserve"> tanto, tener un objetivo claro: romper definitivamente con el pasado colonial. Esto implica una reconfiguración total que desplace la carga desde los impuestos al consumo, al trabajo y a la minería, hacia los impuestos directos sobre la renta y el patrimonio. Se trata de cumplir con la promesa de que cada uno contribuya en proporción a su capacidad económica, haciendo del sistema fiscal la principal herramienta del Estado para construir una sociedad más justa. Mientras sigamos aplicando parches a una estructura obsoleta, seguiremos atrapados en un pasado de desigualdad que nos negamos a superar</w:t>
      </w:r>
      <w:r w:rsidR="002D40A4">
        <w:rPr>
          <w:rFonts w:ascii="Times New Roman" w:hAnsi="Times New Roman" w:cs="Times New Roman"/>
          <w:sz w:val="24"/>
          <w:szCs w:val="24"/>
        </w:rPr>
        <w:t>.</w:t>
      </w:r>
    </w:p>
    <w:p w14:paraId="0A504438" w14:textId="4455DD81" w:rsidR="00E47332" w:rsidRDefault="00E47332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433CF4" w14:textId="09DC3918" w:rsidR="00E47332" w:rsidRDefault="00E47332" w:rsidP="00E4733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Carlos Díaz </w:t>
      </w:r>
    </w:p>
    <w:p w14:paraId="6086FCD9" w14:textId="4536606A" w:rsidR="00E47332" w:rsidRDefault="00E47332" w:rsidP="00E4733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Historiador</w:t>
      </w:r>
    </w:p>
    <w:p w14:paraId="1EE7BE3A" w14:textId="0A4B67DD" w:rsidR="00E47332" w:rsidRPr="00F93DE8" w:rsidRDefault="00E47332" w:rsidP="00E4733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Docente de la Maestría en Historia Económica</w:t>
      </w:r>
    </w:p>
    <w:p w14:paraId="2D1F6A71" w14:textId="77777777" w:rsidR="00E47332" w:rsidRPr="00F93DE8" w:rsidRDefault="00E47332" w:rsidP="00E4733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47332" w:rsidRPr="00F93D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E9D"/>
    <w:rsid w:val="00005D48"/>
    <w:rsid w:val="00017E7E"/>
    <w:rsid w:val="00020260"/>
    <w:rsid w:val="000B52AD"/>
    <w:rsid w:val="000C51F1"/>
    <w:rsid w:val="000C7EAF"/>
    <w:rsid w:val="000E624F"/>
    <w:rsid w:val="00137B38"/>
    <w:rsid w:val="00144E9E"/>
    <w:rsid w:val="001675F9"/>
    <w:rsid w:val="001744A9"/>
    <w:rsid w:val="001C7635"/>
    <w:rsid w:val="002642B7"/>
    <w:rsid w:val="002B6102"/>
    <w:rsid w:val="002D40A4"/>
    <w:rsid w:val="002E55F8"/>
    <w:rsid w:val="002E685F"/>
    <w:rsid w:val="003039B5"/>
    <w:rsid w:val="00315240"/>
    <w:rsid w:val="00331499"/>
    <w:rsid w:val="003378F4"/>
    <w:rsid w:val="003571F0"/>
    <w:rsid w:val="003C7173"/>
    <w:rsid w:val="0046436B"/>
    <w:rsid w:val="004B4F19"/>
    <w:rsid w:val="004D6E26"/>
    <w:rsid w:val="005633BA"/>
    <w:rsid w:val="005706AD"/>
    <w:rsid w:val="005C2DC2"/>
    <w:rsid w:val="00680D62"/>
    <w:rsid w:val="00686B12"/>
    <w:rsid w:val="006B64F9"/>
    <w:rsid w:val="006D5930"/>
    <w:rsid w:val="008B3DA0"/>
    <w:rsid w:val="008B4F17"/>
    <w:rsid w:val="008D1021"/>
    <w:rsid w:val="00914D5D"/>
    <w:rsid w:val="00925D22"/>
    <w:rsid w:val="009809B5"/>
    <w:rsid w:val="00983D2A"/>
    <w:rsid w:val="00A12C9A"/>
    <w:rsid w:val="00A571F1"/>
    <w:rsid w:val="00A91218"/>
    <w:rsid w:val="00B27560"/>
    <w:rsid w:val="00B47379"/>
    <w:rsid w:val="00C24874"/>
    <w:rsid w:val="00C57ACF"/>
    <w:rsid w:val="00C57B07"/>
    <w:rsid w:val="00C8445E"/>
    <w:rsid w:val="00D82A68"/>
    <w:rsid w:val="00E47332"/>
    <w:rsid w:val="00E52859"/>
    <w:rsid w:val="00E70822"/>
    <w:rsid w:val="00EA36B5"/>
    <w:rsid w:val="00EB4182"/>
    <w:rsid w:val="00EC0DBD"/>
    <w:rsid w:val="00EF71D4"/>
    <w:rsid w:val="00F02F51"/>
    <w:rsid w:val="00F06E9D"/>
    <w:rsid w:val="00F93DE8"/>
    <w:rsid w:val="00F97F98"/>
    <w:rsid w:val="00FC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91BC8"/>
  <w15:chartTrackingRefBased/>
  <w15:docId w15:val="{3B01F129-FB7A-43BA-9E8A-AB52DC9B8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06E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06E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06E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06E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06E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06E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06E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06E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06E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6E9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06E9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06E9D"/>
    <w:rPr>
      <w:rFonts w:eastAsiaTheme="majorEastAsia" w:cstheme="majorBidi"/>
      <w:color w:val="0F4761" w:themeColor="accent1" w:themeShade="BF"/>
      <w:sz w:val="28"/>
      <w:szCs w:val="28"/>
      <w:lang w:val="es-MX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06E9D"/>
    <w:rPr>
      <w:rFonts w:eastAsiaTheme="majorEastAsia" w:cstheme="majorBidi"/>
      <w:i/>
      <w:iCs/>
      <w:color w:val="0F4761" w:themeColor="accent1" w:themeShade="BF"/>
      <w:lang w:val="es-MX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06E9D"/>
    <w:rPr>
      <w:rFonts w:eastAsiaTheme="majorEastAsia" w:cstheme="majorBidi"/>
      <w:color w:val="0F4761" w:themeColor="accent1" w:themeShade="BF"/>
      <w:lang w:val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06E9D"/>
    <w:rPr>
      <w:rFonts w:eastAsiaTheme="majorEastAsia" w:cstheme="majorBidi"/>
      <w:i/>
      <w:iCs/>
      <w:color w:val="595959" w:themeColor="text1" w:themeTint="A6"/>
      <w:lang w:val="es-MX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06E9D"/>
    <w:rPr>
      <w:rFonts w:eastAsiaTheme="majorEastAsia" w:cstheme="majorBidi"/>
      <w:color w:val="595959" w:themeColor="text1" w:themeTint="A6"/>
      <w:lang w:val="es-MX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06E9D"/>
    <w:rPr>
      <w:rFonts w:eastAsiaTheme="majorEastAsia" w:cstheme="majorBidi"/>
      <w:i/>
      <w:iCs/>
      <w:color w:val="272727" w:themeColor="text1" w:themeTint="D8"/>
      <w:lang w:val="es-MX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06E9D"/>
    <w:rPr>
      <w:rFonts w:eastAsiaTheme="majorEastAsia" w:cstheme="majorBidi"/>
      <w:color w:val="272727" w:themeColor="text1" w:themeTint="D8"/>
      <w:lang w:val="es-MX"/>
    </w:rPr>
  </w:style>
  <w:style w:type="paragraph" w:styleId="Ttulo">
    <w:name w:val="Title"/>
    <w:basedOn w:val="Normal"/>
    <w:next w:val="Normal"/>
    <w:link w:val="TtuloCar"/>
    <w:uiPriority w:val="10"/>
    <w:qFormat/>
    <w:rsid w:val="00F06E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06E9D"/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F06E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06E9D"/>
    <w:rPr>
      <w:rFonts w:eastAsiaTheme="majorEastAsia" w:cstheme="majorBidi"/>
      <w:color w:val="595959" w:themeColor="text1" w:themeTint="A6"/>
      <w:spacing w:val="15"/>
      <w:sz w:val="28"/>
      <w:szCs w:val="28"/>
      <w:lang w:val="es-MX"/>
    </w:rPr>
  </w:style>
  <w:style w:type="paragraph" w:styleId="Cita">
    <w:name w:val="Quote"/>
    <w:basedOn w:val="Normal"/>
    <w:next w:val="Normal"/>
    <w:link w:val="CitaCar"/>
    <w:uiPriority w:val="29"/>
    <w:qFormat/>
    <w:rsid w:val="00F06E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06E9D"/>
    <w:rPr>
      <w:i/>
      <w:iCs/>
      <w:color w:val="404040" w:themeColor="text1" w:themeTint="BF"/>
      <w:lang w:val="es-MX"/>
    </w:rPr>
  </w:style>
  <w:style w:type="paragraph" w:styleId="Prrafodelista">
    <w:name w:val="List Paragraph"/>
    <w:basedOn w:val="Normal"/>
    <w:uiPriority w:val="34"/>
    <w:qFormat/>
    <w:rsid w:val="00F06E9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06E9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6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6E9D"/>
    <w:rPr>
      <w:i/>
      <w:iCs/>
      <w:color w:val="0F4761" w:themeColor="accent1" w:themeShade="BF"/>
      <w:lang w:val="es-MX"/>
    </w:rPr>
  </w:style>
  <w:style w:type="character" w:styleId="Referenciaintensa">
    <w:name w:val="Intense Reference"/>
    <w:basedOn w:val="Fuentedeprrafopredeter"/>
    <w:uiPriority w:val="32"/>
    <w:qFormat/>
    <w:rsid w:val="00F06E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1058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DO. Carlos Alfonso Diaz Martinez</dc:creator>
  <cp:keywords/>
  <dc:description/>
  <cp:lastModifiedBy>EDNA CAROLINA SASTOQUE</cp:lastModifiedBy>
  <cp:revision>2</cp:revision>
  <dcterms:created xsi:type="dcterms:W3CDTF">2025-09-23T12:57:00Z</dcterms:created>
  <dcterms:modified xsi:type="dcterms:W3CDTF">2025-09-23T12:57:00Z</dcterms:modified>
</cp:coreProperties>
</file>