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8B0C3" w14:textId="2527C2D6" w:rsidR="00534855" w:rsidRPr="00BF5B31" w:rsidRDefault="00BF5B31" w:rsidP="00BF5B31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es-MX"/>
        </w:rPr>
      </w:pPr>
      <w:r w:rsidRPr="00BF5B31">
        <w:rPr>
          <w:rFonts w:ascii="Times New Roman" w:hAnsi="Times New Roman" w:cs="Times New Roman"/>
          <w:b/>
          <w:bCs/>
          <w:sz w:val="22"/>
          <w:szCs w:val="22"/>
          <w:lang w:val="es-MX"/>
        </w:rPr>
        <w:t xml:space="preserve">Cronograma </w:t>
      </w:r>
      <w:r w:rsidR="00534855" w:rsidRPr="00BF5B31">
        <w:rPr>
          <w:rFonts w:ascii="Times New Roman" w:hAnsi="Times New Roman" w:cs="Times New Roman"/>
          <w:b/>
          <w:bCs/>
          <w:sz w:val="22"/>
          <w:szCs w:val="22"/>
          <w:lang w:val="es-MX"/>
        </w:rPr>
        <w:t>Diplomado en Precios de Transferencia</w:t>
      </w:r>
    </w:p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3256"/>
        <w:gridCol w:w="6945"/>
        <w:gridCol w:w="2977"/>
      </w:tblGrid>
      <w:tr w:rsidR="00534855" w:rsidRPr="00EF7641" w14:paraId="44201FDF" w14:textId="77777777" w:rsidTr="00FE364E">
        <w:tc>
          <w:tcPr>
            <w:tcW w:w="3256" w:type="dxa"/>
            <w:shd w:val="clear" w:color="auto" w:fill="A5C9EB" w:themeFill="text2" w:themeFillTint="40"/>
            <w:vAlign w:val="center"/>
          </w:tcPr>
          <w:p w14:paraId="31F0B84F" w14:textId="77AD2738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Fecha</w:t>
            </w:r>
          </w:p>
        </w:tc>
        <w:tc>
          <w:tcPr>
            <w:tcW w:w="6945" w:type="dxa"/>
            <w:shd w:val="clear" w:color="auto" w:fill="A5C9EB" w:themeFill="text2" w:themeFillTint="40"/>
          </w:tcPr>
          <w:p w14:paraId="7ADB7654" w14:textId="4160DACA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Contenido</w:t>
            </w:r>
          </w:p>
        </w:tc>
        <w:tc>
          <w:tcPr>
            <w:tcW w:w="2977" w:type="dxa"/>
            <w:shd w:val="clear" w:color="auto" w:fill="A5C9EB" w:themeFill="text2" w:themeFillTint="40"/>
            <w:vAlign w:val="center"/>
          </w:tcPr>
          <w:p w14:paraId="5057673B" w14:textId="6E1E5683" w:rsidR="00534855" w:rsidRPr="00EF7641" w:rsidRDefault="0053485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Docente</w:t>
            </w:r>
          </w:p>
        </w:tc>
      </w:tr>
      <w:tr w:rsidR="00534855" w:rsidRPr="00EF7641" w14:paraId="23D3EF8F" w14:textId="77777777" w:rsidTr="00FE364E">
        <w:tc>
          <w:tcPr>
            <w:tcW w:w="3256" w:type="dxa"/>
            <w:vAlign w:val="center"/>
          </w:tcPr>
          <w:p w14:paraId="7F8833F9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30 de septiembre de 2025</w:t>
            </w:r>
          </w:p>
          <w:p w14:paraId="1F7374E5" w14:textId="0E35CB74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1E634CF3" w14:textId="02B3C96C" w:rsidR="00F07AD5" w:rsidRPr="00EF7641" w:rsidRDefault="00F07AD5" w:rsidP="00F07AD5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Introducción al régimen de precios de transferencia</w:t>
            </w: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br/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Definiciones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 xml:space="preserve">Naturaleza del régimen – Norma antiabuso, norma de atribución, norma de fiscalización.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Principio de plena competencia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Naturaleza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Fundamento legal y constitucional - ¿un imperativo nacional?</w:t>
            </w:r>
          </w:p>
          <w:p w14:paraId="1886605D" w14:textId="01BE7046" w:rsidR="00F07AD5" w:rsidRPr="00EF7641" w:rsidRDefault="00F07AD5" w:rsidP="00F07AD5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Modelo de Convenio OCDE y ONU (artículo 9)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 xml:space="preserve">Modelo estadounidense </w:t>
            </w:r>
          </w:p>
          <w:p w14:paraId="2B584897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74E582B2" w14:textId="5B1F8A38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</w:rPr>
              <w:t>María Helena Bocachica</w:t>
            </w:r>
          </w:p>
        </w:tc>
      </w:tr>
      <w:tr w:rsidR="00534855" w:rsidRPr="00EF7641" w14:paraId="41250305" w14:textId="77777777" w:rsidTr="00FE364E">
        <w:tc>
          <w:tcPr>
            <w:tcW w:w="3256" w:type="dxa"/>
            <w:vAlign w:val="center"/>
          </w:tcPr>
          <w:p w14:paraId="7B83B2A0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2 de octubre de 2025</w:t>
            </w:r>
          </w:p>
          <w:p w14:paraId="149A1565" w14:textId="06689CB0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360A9DFC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Criterios de vinculación.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Recopilación normativa en Colombia.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Implicaciones sobre costos y deducciones</w:t>
            </w:r>
          </w:p>
          <w:p w14:paraId="7633925D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3382EF59" w14:textId="65E6026B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Bibiana Buitrago</w:t>
            </w:r>
          </w:p>
        </w:tc>
      </w:tr>
      <w:tr w:rsidR="00534855" w:rsidRPr="00EF7641" w14:paraId="4210EAE2" w14:textId="77777777" w:rsidTr="00FE364E">
        <w:tc>
          <w:tcPr>
            <w:tcW w:w="3256" w:type="dxa"/>
            <w:vAlign w:val="center"/>
          </w:tcPr>
          <w:p w14:paraId="6DF045D9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7 de octubre de 2025</w:t>
            </w:r>
          </w:p>
          <w:p w14:paraId="43F1C0EA" w14:textId="35B48673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7F88CD65" w14:textId="12C22E61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Cumplimiento y documentación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-Propósito y contenido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-Deberes formales del régimen de precios de transferencia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Pilar I y Pilar II (metodología de PT, Pilar 1 y 2 para países satélites como es el Caso colombiano /. Alícuota Mínima del 15% vs Ajuste de Precios de Transferencia)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-ICAP (que es y para qué sirve)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-Deberes formales del régimen de precios de transferencia (DIPT)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-Informe Local – Informe Maestro – Registro commodities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-Acuerdos Anticipados de Precios – APA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-Mecanismos de resolución de controversias. MAP– Arbitraje.</w:t>
            </w:r>
          </w:p>
          <w:p w14:paraId="2C82B2A4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</w:p>
        </w:tc>
        <w:tc>
          <w:tcPr>
            <w:tcW w:w="2977" w:type="dxa"/>
            <w:vAlign w:val="center"/>
          </w:tcPr>
          <w:p w14:paraId="2D0C0B0E" w14:textId="21AB26AE" w:rsidR="00534855" w:rsidRPr="009B1627" w:rsidRDefault="00BA12C6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9B1627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 xml:space="preserve">Pendiente confirmación </w:t>
            </w:r>
          </w:p>
        </w:tc>
      </w:tr>
      <w:tr w:rsidR="00534855" w:rsidRPr="00EF7641" w14:paraId="5E911780" w14:textId="77777777" w:rsidTr="00FE364E">
        <w:tc>
          <w:tcPr>
            <w:tcW w:w="3256" w:type="dxa"/>
            <w:vAlign w:val="center"/>
          </w:tcPr>
          <w:p w14:paraId="57E6D58D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9 de octubre de 2025</w:t>
            </w:r>
          </w:p>
          <w:p w14:paraId="1E0FAEEE" w14:textId="4D9B717E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17B9D900" w14:textId="3EA6DE22" w:rsidR="00534855" w:rsidRPr="00EF7641" w:rsidRDefault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Análisis funcional (funciones, activos y riesgos).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Identificación y clasificación de funciones en la cadena de valor; Riesgos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lastRenderedPageBreak/>
              <w:t xml:space="preserve">- Activos tangibles y activos Intangibles - </w:t>
            </w:r>
            <w:r w:rsidR="00BF5B31"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análisis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DEMPE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Caracterización</w:t>
            </w:r>
          </w:p>
          <w:p w14:paraId="5AB6973B" w14:textId="2024CFF1" w:rsidR="00EF7641" w:rsidRPr="00EF7641" w:rsidRDefault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9D4AA2C" w14:textId="523B8301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lastRenderedPageBreak/>
              <w:t>Gastón Fiorentino</w:t>
            </w:r>
          </w:p>
        </w:tc>
      </w:tr>
      <w:tr w:rsidR="00534855" w:rsidRPr="00EF7641" w14:paraId="231E615A" w14:textId="77777777" w:rsidTr="00FE364E">
        <w:tc>
          <w:tcPr>
            <w:tcW w:w="3256" w:type="dxa"/>
            <w:vAlign w:val="center"/>
          </w:tcPr>
          <w:p w14:paraId="2A61F22B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14 de octubre de 2025</w:t>
            </w:r>
          </w:p>
          <w:p w14:paraId="7F3F6835" w14:textId="0A9421E8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6A0BE099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Análisis de comparabilidad.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Elementos de comparabilidad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 xml:space="preserve">- Aspectos temporales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Identificación de comparables – internos y externos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Ajustes de comparabilidad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Períodos de crisis -COVID-19.</w:t>
            </w:r>
          </w:p>
          <w:p w14:paraId="3E8DA9DF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BBAAA26" w14:textId="68E20120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Gastón Fiorentino</w:t>
            </w:r>
          </w:p>
        </w:tc>
      </w:tr>
      <w:tr w:rsidR="00534855" w:rsidRPr="00EF7641" w14:paraId="7CAF5B20" w14:textId="77777777" w:rsidTr="00FE364E">
        <w:tc>
          <w:tcPr>
            <w:tcW w:w="3256" w:type="dxa"/>
            <w:vAlign w:val="center"/>
          </w:tcPr>
          <w:p w14:paraId="52EAAF0F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16 de octubre de 2025</w:t>
            </w:r>
          </w:p>
          <w:p w14:paraId="203738DA" w14:textId="104AB1FC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018CBF71" w14:textId="67CA069B" w:rsidR="00534855" w:rsidRPr="00EF7641" w:rsidRDefault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Análisis económico.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Definición y utilidad del rango intercuartil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Conformación del rango intercuartil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Ajuste a la mediana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Justificación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</w:p>
        </w:tc>
        <w:tc>
          <w:tcPr>
            <w:tcW w:w="2977" w:type="dxa"/>
            <w:vAlign w:val="center"/>
          </w:tcPr>
          <w:p w14:paraId="0F990707" w14:textId="501DAA29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Andrés Parra</w:t>
            </w:r>
          </w:p>
        </w:tc>
      </w:tr>
      <w:tr w:rsidR="00534855" w:rsidRPr="00EF7641" w14:paraId="2C3B43CC" w14:textId="77777777" w:rsidTr="00FE364E">
        <w:tc>
          <w:tcPr>
            <w:tcW w:w="3256" w:type="dxa"/>
            <w:vAlign w:val="center"/>
          </w:tcPr>
          <w:p w14:paraId="7BC5E4AA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21 de octubre de 2025</w:t>
            </w:r>
          </w:p>
          <w:p w14:paraId="7560D828" w14:textId="71E23874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1F517B3B" w14:textId="1700AEA4" w:rsidR="00534855" w:rsidRPr="00EF7641" w:rsidRDefault="00EF7641" w:rsidP="00EF7641">
            <w:pPr>
              <w:spacing w:after="240"/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Búsqueda y Criterios de selección y exclusión de comparables (Explicación general)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Bases de datos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Criterios de exclusión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Depuración de Comparables</w:t>
            </w:r>
          </w:p>
        </w:tc>
        <w:tc>
          <w:tcPr>
            <w:tcW w:w="2977" w:type="dxa"/>
            <w:vAlign w:val="center"/>
          </w:tcPr>
          <w:p w14:paraId="22D130AE" w14:textId="1D15B6D8" w:rsidR="00534855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Andrés Parra</w:t>
            </w:r>
          </w:p>
          <w:p w14:paraId="3C04368F" w14:textId="77777777" w:rsidR="00BA12C6" w:rsidRPr="00EF7641" w:rsidRDefault="00BA12C6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</w:p>
          <w:p w14:paraId="13F15449" w14:textId="51C69CA0" w:rsidR="00F07AD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Rafael Parra</w:t>
            </w:r>
          </w:p>
        </w:tc>
      </w:tr>
      <w:tr w:rsidR="00534855" w:rsidRPr="00EF7641" w14:paraId="78020C82" w14:textId="77777777" w:rsidTr="00FE364E">
        <w:tc>
          <w:tcPr>
            <w:tcW w:w="3256" w:type="dxa"/>
            <w:vAlign w:val="center"/>
          </w:tcPr>
          <w:p w14:paraId="2BABAA7A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 23 de octubre de 2025</w:t>
            </w:r>
          </w:p>
          <w:p w14:paraId="44815C2C" w14:textId="73B7E714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1DC709C0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BF5B3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Aplicación de los métodos.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Mejor método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Uso de más de un método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PC – Precio comparable no controlado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PR – Precio de Reventa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CA – Costo Adicionado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TU – Márgenes transaccionales de utilidad en la operación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PU – Partición de utilidades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Evolución Jurisprudencial en Colombia</w:t>
            </w:r>
          </w:p>
          <w:p w14:paraId="31B9DC7A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424BFBA7" w14:textId="0D4EA118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lastRenderedPageBreak/>
              <w:t>Marco Antonio Casas</w:t>
            </w:r>
          </w:p>
        </w:tc>
      </w:tr>
      <w:tr w:rsidR="00534855" w:rsidRPr="00EF7641" w14:paraId="54419F13" w14:textId="77777777" w:rsidTr="00FE364E">
        <w:tc>
          <w:tcPr>
            <w:tcW w:w="3256" w:type="dxa"/>
            <w:vAlign w:val="center"/>
          </w:tcPr>
          <w:p w14:paraId="48FA17E0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28 de octubre de 2025</w:t>
            </w:r>
          </w:p>
          <w:p w14:paraId="763E9672" w14:textId="3D72D041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02277F0E" w14:textId="45304863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Taller de aplicación de métodos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 w:rsidR="00BF5B3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Ajustes de comparabilidad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Procedencia del ajuste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Tipos de ajustes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Los ajustes en la práctica</w:t>
            </w:r>
          </w:p>
          <w:p w14:paraId="5A1E87C7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604BBA94" w14:textId="65144F0A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Diana Hernández</w:t>
            </w:r>
          </w:p>
        </w:tc>
      </w:tr>
      <w:tr w:rsidR="00534855" w:rsidRPr="00EF7641" w14:paraId="67373683" w14:textId="77777777" w:rsidTr="00FE364E">
        <w:tc>
          <w:tcPr>
            <w:tcW w:w="3256" w:type="dxa"/>
            <w:vAlign w:val="center"/>
          </w:tcPr>
          <w:p w14:paraId="002D3669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30 de octubre de 2025</w:t>
            </w:r>
          </w:p>
          <w:p w14:paraId="5F9CA8C4" w14:textId="618D0DEB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063F098E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Litigio en precios de transferencia.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Requerimientos.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Cruces de información.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Visitas e inspecciones.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Debida diligencia y defense file.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Procedimiento de fiscalización</w:t>
            </w:r>
          </w:p>
          <w:p w14:paraId="180345D7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B944E2B" w14:textId="572912EA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Bibiana Buitrago</w:t>
            </w:r>
          </w:p>
          <w:p w14:paraId="509B0C64" w14:textId="5DC78481" w:rsidR="00F07AD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Gabriel Muñoz</w:t>
            </w:r>
          </w:p>
        </w:tc>
      </w:tr>
      <w:tr w:rsidR="00534855" w:rsidRPr="00EF7641" w14:paraId="7F5FFC7A" w14:textId="77777777" w:rsidTr="00FE364E">
        <w:tc>
          <w:tcPr>
            <w:tcW w:w="3256" w:type="dxa"/>
            <w:vAlign w:val="center"/>
          </w:tcPr>
          <w:p w14:paraId="71BB1167" w14:textId="23A207C5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4 de noviembre de 2025</w:t>
            </w:r>
          </w:p>
          <w:p w14:paraId="433E176F" w14:textId="3097A0E5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01224B87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Jurisprudencia en Precios de Transferencia</w:t>
            </w: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br/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- Evolución de la Jurisprudencia colombiana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Sentencias Hito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Dictamen pericial en precios de transferencia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Principio de favorabilidad</w:t>
            </w:r>
          </w:p>
          <w:p w14:paraId="4015E3C0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2CF2234" w14:textId="6CDCCE69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Andrés Felipe Perdomo</w:t>
            </w:r>
          </w:p>
        </w:tc>
      </w:tr>
      <w:tr w:rsidR="00534855" w:rsidRPr="00EF7641" w14:paraId="2A7A800E" w14:textId="77777777" w:rsidTr="00FE364E">
        <w:tc>
          <w:tcPr>
            <w:tcW w:w="3256" w:type="dxa"/>
            <w:vAlign w:val="center"/>
          </w:tcPr>
          <w:p w14:paraId="509AAB51" w14:textId="77777777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6 de noviembre de 2025</w:t>
            </w:r>
          </w:p>
          <w:p w14:paraId="0D3758D8" w14:textId="37769931" w:rsidR="00534855" w:rsidRPr="00EF7641" w:rsidRDefault="0053485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3370B12D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Auditoría y Fiscalización de Precios de Transferencia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Intercambio de información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Programas de fiscalización</w:t>
            </w:r>
          </w:p>
          <w:p w14:paraId="1F580C92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FE6F610" w14:textId="5E37EDCE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Marco Antonio Casas</w:t>
            </w:r>
          </w:p>
        </w:tc>
      </w:tr>
      <w:tr w:rsidR="00534855" w:rsidRPr="00EF7641" w14:paraId="79114D5D" w14:textId="77777777" w:rsidTr="00FE364E">
        <w:tc>
          <w:tcPr>
            <w:tcW w:w="3256" w:type="dxa"/>
            <w:vAlign w:val="center"/>
          </w:tcPr>
          <w:p w14:paraId="2C7950AD" w14:textId="77777777" w:rsidR="0053485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11 de noviembre de 2025</w:t>
            </w:r>
          </w:p>
          <w:p w14:paraId="76DF15F1" w14:textId="6130DACD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420BBD6B" w14:textId="4B4ACCCA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Métodos PT vs Métodos valor en Aduanas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Diferencias, similitudes y contradicciones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Modelos de negocios de PT - impactos en Aduana. Ejemplo: Zona Franca / ZOMAC | ¿Plan Vallejo? |Agente Ventas/Compras ubicados en Panamá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Casos en los que PT sirve para justificar en origen NO DUMPING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Art. 90 Valor Comercial / Valor de Mercado / Servicios Locales: efectos en el IVA y en PT</w:t>
            </w:r>
          </w:p>
          <w:p w14:paraId="6759C858" w14:textId="77777777" w:rsidR="00534855" w:rsidRPr="00EF7641" w:rsidRDefault="0053485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4E92B750" w14:textId="4A333F79" w:rsidR="0053485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Gastón Fiorentino</w:t>
            </w:r>
          </w:p>
          <w:p w14:paraId="7A67BED8" w14:textId="28081400" w:rsidR="00F07AD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Carlos Andrés Rodríguez Calero</w:t>
            </w:r>
          </w:p>
        </w:tc>
      </w:tr>
      <w:tr w:rsidR="00F07AD5" w:rsidRPr="00EF7641" w14:paraId="0516C8D8" w14:textId="77777777" w:rsidTr="00FE364E">
        <w:tc>
          <w:tcPr>
            <w:tcW w:w="3256" w:type="dxa"/>
            <w:vAlign w:val="center"/>
          </w:tcPr>
          <w:p w14:paraId="0E392910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lastRenderedPageBreak/>
              <w:t>Jueves, 13 de noviembre de 2025</w:t>
            </w:r>
          </w:p>
          <w:p w14:paraId="3938AB44" w14:textId="41E8FAD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07EA40E1" w14:textId="5FB94400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Precios de Transferencia y Establecimiento permanente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Que es un E</w:t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stablecimiento permanente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recios de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ransferencia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y residencia fiscal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Atribución de Renta ¿Qué es y por qué?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Caso de atribución de rentas</w:t>
            </w:r>
          </w:p>
          <w:p w14:paraId="4E0F2BB7" w14:textId="77777777" w:rsidR="00F07AD5" w:rsidRPr="00EF7641" w:rsidRDefault="00F07AD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370CE76B" w14:textId="2B16F367" w:rsidR="00F07AD5" w:rsidRPr="00EF7641" w:rsidRDefault="00F07AD5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Pablo Ángel Vallejo</w:t>
            </w:r>
          </w:p>
        </w:tc>
      </w:tr>
      <w:tr w:rsidR="00F07AD5" w:rsidRPr="00EF7641" w14:paraId="314D6D6C" w14:textId="77777777" w:rsidTr="00FE364E">
        <w:tc>
          <w:tcPr>
            <w:tcW w:w="3256" w:type="dxa"/>
            <w:vAlign w:val="center"/>
          </w:tcPr>
          <w:p w14:paraId="00C8E4E6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18 de noviembre de 2025</w:t>
            </w:r>
          </w:p>
          <w:p w14:paraId="5B34FC49" w14:textId="3601F345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622DFBEB" w14:textId="33348C5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Operaciones financieras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Préstamos, financiación de un </w:t>
            </w:r>
            <w:proofErr w:type="spellStart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Start</w:t>
            </w:r>
            <w:proofErr w:type="spellEnd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Up, Cash </w:t>
            </w:r>
            <w:proofErr w:type="spellStart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pooling</w:t>
            </w:r>
            <w:proofErr w:type="spellEnd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– régimen cambiario, Captive Insurance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Operaciones a largo plazo / operaciones recurrentes que nunca se cancelan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Recategorización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Tasas informadas por Bancos Centrales vs Análisis basados en el Riesgo</w:t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c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rediticio del </w:t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d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eudor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Puntajes crediticios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Garantías</w:t>
            </w:r>
          </w:p>
          <w:p w14:paraId="1ABF718F" w14:textId="77777777" w:rsidR="00F07AD5" w:rsidRPr="00EF7641" w:rsidRDefault="00F07AD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3D744A26" w14:textId="05845CA9" w:rsidR="00F07AD5" w:rsidRPr="009B1627" w:rsidRDefault="00BA12C6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9B1627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Pendiente confirmación</w:t>
            </w:r>
          </w:p>
        </w:tc>
      </w:tr>
      <w:tr w:rsidR="00F07AD5" w:rsidRPr="00EF7641" w14:paraId="71C0CB1C" w14:textId="77777777" w:rsidTr="00FE364E">
        <w:tc>
          <w:tcPr>
            <w:tcW w:w="3256" w:type="dxa"/>
            <w:vAlign w:val="center"/>
          </w:tcPr>
          <w:p w14:paraId="78186DCA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20 de noviembre de 2025</w:t>
            </w:r>
          </w:p>
          <w:p w14:paraId="0202F093" w14:textId="5C38E028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18A11CD2" w14:textId="2C4CF55A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Servicios Intragrupo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Prestación de servicios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Remuneración de plena competencia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 xml:space="preserve">- Cost </w:t>
            </w:r>
            <w:proofErr w:type="spellStart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sharing</w:t>
            </w:r>
            <w:proofErr w:type="spellEnd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</w:t>
            </w:r>
            <w:proofErr w:type="spellStart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arrangement</w:t>
            </w:r>
            <w:proofErr w:type="spellEnd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y CCA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Servicios de bajo valor añadido</w:t>
            </w:r>
          </w:p>
          <w:p w14:paraId="45D3D620" w14:textId="77777777" w:rsidR="00F07AD5" w:rsidRPr="00EF7641" w:rsidRDefault="00F07AD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6ACA663B" w14:textId="391DD6FB" w:rsidR="00F07AD5" w:rsidRPr="00EF7641" w:rsidRDefault="00EF7641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José Luis Galíndez</w:t>
            </w:r>
          </w:p>
        </w:tc>
      </w:tr>
      <w:tr w:rsidR="00F07AD5" w:rsidRPr="00EF7641" w14:paraId="7093E918" w14:textId="77777777" w:rsidTr="00FE364E">
        <w:tc>
          <w:tcPr>
            <w:tcW w:w="3256" w:type="dxa"/>
            <w:vAlign w:val="center"/>
          </w:tcPr>
          <w:p w14:paraId="106360EC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25 de noviembre de 2025</w:t>
            </w:r>
          </w:p>
          <w:p w14:paraId="05420BE9" w14:textId="4F89FEEC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1E287F78" w14:textId="77777777" w:rsidR="00EF7641" w:rsidRPr="00EF7641" w:rsidRDefault="00EF7641" w:rsidP="00EF7641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Intangibles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Identificación y categorías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DEMPE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Identificación, propiedad, uso y transferencia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  <w:t>- HTVI</w:t>
            </w:r>
          </w:p>
          <w:p w14:paraId="51CFAAE8" w14:textId="77777777" w:rsidR="00F07AD5" w:rsidRPr="00EF7641" w:rsidRDefault="00F07AD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6DC6824" w14:textId="1CC81B16" w:rsidR="00F07AD5" w:rsidRPr="00EF7641" w:rsidRDefault="00EF7641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José Luis Galíndez</w:t>
            </w:r>
          </w:p>
        </w:tc>
      </w:tr>
      <w:tr w:rsidR="00F07AD5" w:rsidRPr="00EF7641" w14:paraId="5E318DF7" w14:textId="77777777" w:rsidTr="00FE364E">
        <w:tc>
          <w:tcPr>
            <w:tcW w:w="3256" w:type="dxa"/>
            <w:vAlign w:val="center"/>
          </w:tcPr>
          <w:p w14:paraId="59FBF5B5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27 de noviembre de 2025</w:t>
            </w:r>
          </w:p>
          <w:p w14:paraId="1EB8EA63" w14:textId="320E0323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37049FBF" w14:textId="3E2BBDE7" w:rsidR="00F07AD5" w:rsidRPr="00FE364E" w:rsidRDefault="00FE364E" w:rsidP="00FE364E">
            <w:pPr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FE364E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Planeación patrimonial, familiar y precios de transferencia </w:t>
            </w:r>
          </w:p>
        </w:tc>
        <w:tc>
          <w:tcPr>
            <w:tcW w:w="2977" w:type="dxa"/>
            <w:vAlign w:val="center"/>
          </w:tcPr>
          <w:p w14:paraId="3035CCCE" w14:textId="77777777" w:rsidR="00FE364E" w:rsidRPr="00EF7641" w:rsidRDefault="00FE364E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Gastón Fiorentino</w:t>
            </w:r>
          </w:p>
          <w:p w14:paraId="47713CAD" w14:textId="1AFED8CC" w:rsidR="00F07AD5" w:rsidRPr="00EF7641" w:rsidRDefault="00FE364E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Bibiana Buitrago</w:t>
            </w:r>
            <w:r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 xml:space="preserve"> </w:t>
            </w:r>
          </w:p>
        </w:tc>
      </w:tr>
      <w:tr w:rsidR="00F07AD5" w:rsidRPr="00EF7641" w14:paraId="4BB25C63" w14:textId="77777777" w:rsidTr="00FE364E">
        <w:tc>
          <w:tcPr>
            <w:tcW w:w="3256" w:type="dxa"/>
            <w:vAlign w:val="center"/>
          </w:tcPr>
          <w:p w14:paraId="6F2E0BDB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Martes, 2 de diciembre de 2025</w:t>
            </w:r>
          </w:p>
          <w:p w14:paraId="29B6EAA9" w14:textId="5489C6A5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2F2117FE" w14:textId="77777777" w:rsidR="00FE364E" w:rsidRPr="00EF7641" w:rsidRDefault="00FE364E" w:rsidP="00FE364E">
            <w:pPr>
              <w:rPr>
                <w:rFonts w:ascii="Times New Roman" w:hAnsi="Times New Roman" w:cs="Times New Roman"/>
                <w:color w:val="201F1E"/>
                <w:sz w:val="22"/>
                <w:szCs w:val="22"/>
              </w:rPr>
            </w:pPr>
            <w:r w:rsidRPr="00EF7641">
              <w:rPr>
                <w:rFonts w:ascii="Times New Roman" w:hAnsi="Times New Roman" w:cs="Times New Roman"/>
                <w:b/>
                <w:bCs/>
                <w:color w:val="201F1E"/>
                <w:sz w:val="22"/>
                <w:szCs w:val="22"/>
              </w:rPr>
              <w:t>Reorganizaciones Empresariales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Reconocimiento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lastRenderedPageBreak/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Transferencia de valores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Importancia de las reorganizaciones empresariales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Neutralidad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Remuneración de transacciones post-reorganización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Fusiones y adquisiciones – Donde afecta PT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Valoración financiera desde la perspectiva de PT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Formas de valorar un activo intangible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- </w:t>
            </w:r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¿Como se valora el efecto de una reestructuración? ¿</w:t>
            </w:r>
            <w:proofErr w:type="spellStart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>Exit</w:t>
            </w:r>
            <w:proofErr w:type="spellEnd"/>
            <w:r w:rsidRPr="00EF7641">
              <w:rPr>
                <w:rFonts w:ascii="Times New Roman" w:hAnsi="Times New Roman" w:cs="Times New Roman"/>
                <w:color w:val="201F1E"/>
                <w:sz w:val="22"/>
                <w:szCs w:val="22"/>
              </w:rPr>
              <w:t xml:space="preserve"> Tax? | diferencia entre un reestructuración y una reorganización </w:t>
            </w:r>
          </w:p>
          <w:p w14:paraId="695528CA" w14:textId="77777777" w:rsidR="00F07AD5" w:rsidRPr="00EF7641" w:rsidRDefault="00F07AD5" w:rsidP="00FE364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30AAD98" w14:textId="2EE52391" w:rsidR="00EF7641" w:rsidRPr="009B1627" w:rsidRDefault="00FE364E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9B1627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lastRenderedPageBreak/>
              <w:t xml:space="preserve">Pendiente confirmación </w:t>
            </w:r>
          </w:p>
        </w:tc>
      </w:tr>
      <w:tr w:rsidR="00F07AD5" w:rsidRPr="00EF7641" w14:paraId="57E649C8" w14:textId="77777777" w:rsidTr="00FE364E">
        <w:tc>
          <w:tcPr>
            <w:tcW w:w="3256" w:type="dxa"/>
            <w:vAlign w:val="center"/>
          </w:tcPr>
          <w:p w14:paraId="33842632" w14:textId="77777777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Jueves, 4 de diciembre de 2025</w:t>
            </w:r>
          </w:p>
          <w:p w14:paraId="5AE4A015" w14:textId="6FBA1524" w:rsidR="00F07AD5" w:rsidRPr="00EF7641" w:rsidRDefault="00F07AD5" w:rsidP="00FE364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4:00 pm – 8:00 pm</w:t>
            </w:r>
          </w:p>
        </w:tc>
        <w:tc>
          <w:tcPr>
            <w:tcW w:w="6945" w:type="dxa"/>
          </w:tcPr>
          <w:p w14:paraId="5F1F4A19" w14:textId="6BD5BBC9" w:rsidR="00F07AD5" w:rsidRPr="00EF7641" w:rsidRDefault="00EF7641">
            <w:pPr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 xml:space="preserve">Desarrollos recientes en Precios de Transferencia </w:t>
            </w:r>
          </w:p>
          <w:p w14:paraId="0FDE252A" w14:textId="457FC090" w:rsidR="00EF7641" w:rsidRPr="00EF7641" w:rsidRDefault="00EF7641">
            <w:pPr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Legislación brasileña en Precios de Transferencia</w:t>
            </w:r>
          </w:p>
        </w:tc>
        <w:tc>
          <w:tcPr>
            <w:tcW w:w="2977" w:type="dxa"/>
            <w:vAlign w:val="center"/>
          </w:tcPr>
          <w:p w14:paraId="38B14D62" w14:textId="7D5AF4B7" w:rsidR="00F07AD5" w:rsidRPr="00EF7641" w:rsidRDefault="00EF7641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Gastón Fiorentino</w:t>
            </w:r>
          </w:p>
          <w:p w14:paraId="65C0B4B3" w14:textId="256B09DE" w:rsidR="00EF7641" w:rsidRPr="00EF7641" w:rsidRDefault="00EF7641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Bibiana Buitrago</w:t>
            </w:r>
          </w:p>
          <w:p w14:paraId="58448670" w14:textId="16664704" w:rsidR="00EF7641" w:rsidRPr="00EF7641" w:rsidRDefault="00EF7641" w:rsidP="00EF764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s-MX"/>
              </w:rPr>
            </w:pPr>
            <w:r w:rsidRPr="00EF7641">
              <w:rPr>
                <w:rFonts w:ascii="Times New Roman" w:hAnsi="Times New Roman" w:cs="Times New Roman"/>
                <w:sz w:val="22"/>
                <w:szCs w:val="22"/>
                <w:lang w:val="es-MX"/>
              </w:rPr>
              <w:t>Alejandro Calderón</w:t>
            </w:r>
          </w:p>
        </w:tc>
      </w:tr>
    </w:tbl>
    <w:p w14:paraId="67638F3F" w14:textId="77777777" w:rsidR="00534855" w:rsidRPr="00EF7641" w:rsidRDefault="00534855">
      <w:pPr>
        <w:rPr>
          <w:rFonts w:ascii="Times New Roman" w:hAnsi="Times New Roman" w:cs="Times New Roman"/>
          <w:sz w:val="22"/>
          <w:szCs w:val="22"/>
          <w:lang w:val="es-MX"/>
        </w:rPr>
      </w:pPr>
    </w:p>
    <w:p w14:paraId="70E70F55" w14:textId="198B5DB6" w:rsidR="00F07AD5" w:rsidRPr="00EF7641" w:rsidRDefault="00F07AD5" w:rsidP="00F07AD5">
      <w:pPr>
        <w:rPr>
          <w:rFonts w:ascii="Times New Roman" w:hAnsi="Times New Roman" w:cs="Times New Roman"/>
          <w:sz w:val="22"/>
          <w:szCs w:val="22"/>
          <w:lang w:val="es-MX"/>
        </w:rPr>
      </w:pPr>
      <w:r w:rsidRPr="00EF7641">
        <w:rPr>
          <w:rFonts w:ascii="Times New Roman" w:hAnsi="Times New Roman" w:cs="Times New Roman"/>
          <w:sz w:val="22"/>
          <w:szCs w:val="22"/>
          <w:lang w:val="es-MX"/>
        </w:rPr>
        <w:t xml:space="preserve">** La Universidad Externado de Colombia se reserva el derecho de realizar modificaciones en </w:t>
      </w:r>
      <w:r w:rsidR="001B7AC1">
        <w:rPr>
          <w:rFonts w:ascii="Times New Roman" w:hAnsi="Times New Roman" w:cs="Times New Roman"/>
          <w:sz w:val="22"/>
          <w:szCs w:val="22"/>
          <w:lang w:val="es-MX"/>
        </w:rPr>
        <w:t>programación y nómina docente.</w:t>
      </w:r>
    </w:p>
    <w:sectPr w:rsidR="00F07AD5" w:rsidRPr="00EF7641" w:rsidSect="00534855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37635" w14:textId="77777777" w:rsidR="00AD2950" w:rsidRDefault="00AD2950" w:rsidP="00BF5B31">
      <w:pPr>
        <w:spacing w:after="0" w:line="240" w:lineRule="auto"/>
      </w:pPr>
      <w:r>
        <w:separator/>
      </w:r>
    </w:p>
  </w:endnote>
  <w:endnote w:type="continuationSeparator" w:id="0">
    <w:p w14:paraId="4EF184C9" w14:textId="77777777" w:rsidR="00AD2950" w:rsidRDefault="00AD2950" w:rsidP="00BF5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3ECBA" w14:textId="77777777" w:rsidR="00AD2950" w:rsidRDefault="00AD2950" w:rsidP="00BF5B31">
      <w:pPr>
        <w:spacing w:after="0" w:line="240" w:lineRule="auto"/>
      </w:pPr>
      <w:r>
        <w:separator/>
      </w:r>
    </w:p>
  </w:footnote>
  <w:footnote w:type="continuationSeparator" w:id="0">
    <w:p w14:paraId="49829BA3" w14:textId="77777777" w:rsidR="00AD2950" w:rsidRDefault="00AD2950" w:rsidP="00BF5B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A9D2B" w14:textId="44BF88DD" w:rsidR="00BF5B31" w:rsidRDefault="00BF5B31">
    <w:pPr>
      <w:pStyle w:val="Encabezado"/>
    </w:pPr>
    <w:r w:rsidRPr="00BF5B31">
      <w:rPr>
        <w:noProof/>
      </w:rPr>
      <w:drawing>
        <wp:inline distT="0" distB="0" distL="0" distR="0" wp14:anchorId="02F26872" wp14:editId="122A30C8">
          <wp:extent cx="3371849" cy="795173"/>
          <wp:effectExtent l="0" t="0" r="635" b="5080"/>
          <wp:docPr id="180711134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711134" name="Imagen 1" descr="Logotipo&#10;&#10;El contenido generado por IA puede ser incorrecto."/>
                  <pic:cNvPicPr/>
                </pic:nvPicPr>
                <pic:blipFill rotWithShape="1">
                  <a:blip r:embed="rId1"/>
                  <a:srcRect t="20493"/>
                  <a:stretch>
                    <a:fillRect/>
                  </a:stretch>
                </pic:blipFill>
                <pic:spPr bwMode="auto">
                  <a:xfrm>
                    <a:off x="0" y="0"/>
                    <a:ext cx="3372321" cy="7952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4118315" w14:textId="77777777" w:rsidR="00BF5B31" w:rsidRDefault="00BF5B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CC5D54"/>
    <w:multiLevelType w:val="hybridMultilevel"/>
    <w:tmpl w:val="64CE9A60"/>
    <w:lvl w:ilvl="0" w:tplc="BF0A7B16">
      <w:start w:val="202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586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55"/>
    <w:rsid w:val="001119BB"/>
    <w:rsid w:val="001B7AC1"/>
    <w:rsid w:val="00534855"/>
    <w:rsid w:val="00621ED6"/>
    <w:rsid w:val="009B1627"/>
    <w:rsid w:val="00AB1202"/>
    <w:rsid w:val="00AD2950"/>
    <w:rsid w:val="00B81ECB"/>
    <w:rsid w:val="00BA12C6"/>
    <w:rsid w:val="00BF5B31"/>
    <w:rsid w:val="00EF7641"/>
    <w:rsid w:val="00F07AD5"/>
    <w:rsid w:val="00FE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C55271"/>
  <w15:chartTrackingRefBased/>
  <w15:docId w15:val="{15B1EAFA-1B4F-44BA-A4EF-EB9515138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348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48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48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48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48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48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48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48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48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48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48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48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48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485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48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485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48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48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348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34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348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348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348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3485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3485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3485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4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485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34855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34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F5B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B31"/>
  </w:style>
  <w:style w:type="paragraph" w:styleId="Piedepgina">
    <w:name w:val="footer"/>
    <w:basedOn w:val="Normal"/>
    <w:link w:val="PiedepginaCar"/>
    <w:uiPriority w:val="99"/>
    <w:unhideWhenUsed/>
    <w:rsid w:val="00BF5B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5</Pages>
  <Words>931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Ximena Rodríguez Herrera</dc:creator>
  <cp:keywords/>
  <dc:description/>
  <cp:lastModifiedBy>Laura Ximena Rodríguez Herrera</cp:lastModifiedBy>
  <cp:revision>2</cp:revision>
  <dcterms:created xsi:type="dcterms:W3CDTF">2025-08-29T17:32:00Z</dcterms:created>
  <dcterms:modified xsi:type="dcterms:W3CDTF">2025-09-04T19:21:00Z</dcterms:modified>
</cp:coreProperties>
</file>