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13F1DA"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250E3874" w14:textId="3A8CF0B1" w:rsidR="00C26111" w:rsidRPr="00CC24F4" w:rsidRDefault="00D16372" w:rsidP="0035477C">
      <w:pPr>
        <w:pStyle w:val="Textoindependiente"/>
        <w:spacing w:before="1" w:line="360" w:lineRule="auto"/>
        <w:ind w:left="100" w:right="110"/>
        <w:jc w:val="center"/>
        <w:rPr>
          <w:rFonts w:ascii="Arial" w:eastAsiaTheme="minorHAnsi" w:hAnsi="Arial" w:cs="Arial"/>
          <w:bCs/>
          <w:color w:val="000000" w:themeColor="text1"/>
          <w:lang w:val="es-CO"/>
        </w:rPr>
      </w:pPr>
      <w:r w:rsidRPr="00D16372">
        <w:rPr>
          <w:rFonts w:ascii="Arial" w:hAnsi="Arial" w:cs="Arial"/>
          <w:b/>
          <w:color w:val="000000" w:themeColor="text1"/>
        </w:rPr>
        <w:t>Perspectivas Del Regulador 2024 2025</w:t>
      </w:r>
    </w:p>
    <w:p w14:paraId="2D987004"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4C0E13EE" w14:textId="77777777" w:rsidR="00C26111" w:rsidRPr="00CC24F4" w:rsidRDefault="00C26111" w:rsidP="00BB3B6B">
      <w:pPr>
        <w:pStyle w:val="Textoindependiente"/>
        <w:spacing w:before="1" w:line="360" w:lineRule="auto"/>
        <w:ind w:right="110"/>
        <w:jc w:val="both"/>
        <w:rPr>
          <w:rFonts w:ascii="Arial" w:eastAsiaTheme="minorHAnsi" w:hAnsi="Arial" w:cs="Arial"/>
          <w:bCs/>
          <w:color w:val="000000" w:themeColor="text1"/>
          <w:lang w:val="es-CO"/>
        </w:rPr>
      </w:pPr>
    </w:p>
    <w:p w14:paraId="531F806E"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7A8ED62C" w14:textId="77777777" w:rsidR="00C26111" w:rsidRPr="00CC24F4" w:rsidRDefault="00C26111" w:rsidP="00BB3B6B">
      <w:pPr>
        <w:pStyle w:val="Textoindependiente"/>
        <w:spacing w:before="1" w:line="360" w:lineRule="auto"/>
        <w:ind w:right="110"/>
        <w:jc w:val="both"/>
        <w:rPr>
          <w:rFonts w:ascii="Arial" w:eastAsiaTheme="minorHAnsi" w:hAnsi="Arial" w:cs="Arial"/>
          <w:bCs/>
          <w:color w:val="000000" w:themeColor="text1"/>
          <w:lang w:val="es-CO"/>
        </w:rPr>
      </w:pPr>
    </w:p>
    <w:p w14:paraId="54BB4A7F"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r w:rsidRPr="00CC24F4">
        <w:rPr>
          <w:rFonts w:ascii="Arial" w:eastAsiaTheme="minorHAnsi" w:hAnsi="Arial" w:cs="Arial"/>
          <w:bCs/>
          <w:noProof/>
          <w:color w:val="000000" w:themeColor="text1"/>
          <w:lang w:val="es-CO" w:eastAsia="es-CO"/>
        </w:rPr>
        <w:drawing>
          <wp:anchor distT="0" distB="0" distL="0" distR="0" simplePos="0" relativeHeight="251659264" behindDoc="0" locked="0" layoutInCell="1" allowOverlap="1" wp14:anchorId="6DEDD119" wp14:editId="577B9F9F">
            <wp:simplePos x="0" y="0"/>
            <wp:positionH relativeFrom="margin">
              <wp:posOffset>1114425</wp:posOffset>
            </wp:positionH>
            <wp:positionV relativeFrom="paragraph">
              <wp:posOffset>276604</wp:posOffset>
            </wp:positionV>
            <wp:extent cx="3056890" cy="746125"/>
            <wp:effectExtent l="0" t="0" r="0" b="0"/>
            <wp:wrapTopAndBottom/>
            <wp:docPr id="1" name="image1.jpeg" descr="Resultado de imagen para universidad externado de colombi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3056890" cy="746125"/>
                    </a:xfrm>
                    <a:prstGeom prst="rect">
                      <a:avLst/>
                    </a:prstGeom>
                  </pic:spPr>
                </pic:pic>
              </a:graphicData>
            </a:graphic>
            <wp14:sizeRelH relativeFrom="margin">
              <wp14:pctWidth>0</wp14:pctWidth>
            </wp14:sizeRelH>
            <wp14:sizeRelV relativeFrom="margin">
              <wp14:pctHeight>0</wp14:pctHeight>
            </wp14:sizeRelV>
          </wp:anchor>
        </w:drawing>
      </w:r>
    </w:p>
    <w:p w14:paraId="3025D55C"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3677017D"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0E80F4CD"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043C0E87"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0F061169" w14:textId="77777777" w:rsidR="00C26111" w:rsidRPr="00CC24F4" w:rsidRDefault="00C26111" w:rsidP="00BB3B6B">
      <w:pPr>
        <w:pStyle w:val="Textoindependiente"/>
        <w:spacing w:before="1" w:line="360" w:lineRule="auto"/>
        <w:ind w:right="110"/>
        <w:jc w:val="both"/>
        <w:rPr>
          <w:rFonts w:ascii="Arial" w:eastAsiaTheme="minorHAnsi" w:hAnsi="Arial" w:cs="Arial"/>
          <w:bCs/>
          <w:color w:val="000000" w:themeColor="text1"/>
          <w:lang w:val="es-CO"/>
        </w:rPr>
      </w:pPr>
    </w:p>
    <w:p w14:paraId="76D69DBE"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226E6F7F"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01B81D27" w14:textId="77777777" w:rsidR="00C26111" w:rsidRPr="00CC24F4" w:rsidRDefault="00C26111" w:rsidP="00BB3B6B">
      <w:pPr>
        <w:pStyle w:val="Textoindependiente"/>
        <w:spacing w:before="1" w:line="360" w:lineRule="auto"/>
        <w:ind w:left="100" w:right="110"/>
        <w:jc w:val="both"/>
        <w:rPr>
          <w:rFonts w:ascii="Arial" w:eastAsiaTheme="minorHAnsi" w:hAnsi="Arial" w:cs="Arial"/>
          <w:b/>
          <w:color w:val="000000" w:themeColor="text1"/>
          <w:lang w:val="es-CO"/>
        </w:rPr>
      </w:pPr>
      <w:r w:rsidRPr="00CC24F4">
        <w:rPr>
          <w:rFonts w:ascii="Arial" w:eastAsiaTheme="minorHAnsi" w:hAnsi="Arial" w:cs="Arial"/>
          <w:b/>
          <w:color w:val="000000" w:themeColor="text1"/>
          <w:lang w:val="es-CO"/>
        </w:rPr>
        <w:t xml:space="preserve">Departamento de Derecho, Comunicaciones y Tecnologías de la Información. </w:t>
      </w:r>
    </w:p>
    <w:p w14:paraId="0F43159F" w14:textId="77777777" w:rsidR="00C26111" w:rsidRPr="00CC24F4" w:rsidRDefault="00C26111" w:rsidP="00BB3B6B">
      <w:pPr>
        <w:pStyle w:val="Textoindependiente"/>
        <w:spacing w:before="1" w:line="360" w:lineRule="auto"/>
        <w:ind w:left="100" w:right="110"/>
        <w:jc w:val="both"/>
        <w:rPr>
          <w:rFonts w:ascii="Arial" w:eastAsiaTheme="minorHAnsi" w:hAnsi="Arial" w:cs="Arial"/>
          <w:b/>
          <w:color w:val="000000" w:themeColor="text1"/>
          <w:lang w:val="es-CO"/>
        </w:rPr>
      </w:pPr>
    </w:p>
    <w:p w14:paraId="1BA12DF0" w14:textId="77777777" w:rsidR="00C26111" w:rsidRPr="00CC24F4" w:rsidRDefault="00C26111" w:rsidP="00BB3B6B">
      <w:pPr>
        <w:pStyle w:val="Textoindependiente"/>
        <w:spacing w:before="1" w:line="360" w:lineRule="auto"/>
        <w:ind w:left="100" w:right="110"/>
        <w:jc w:val="both"/>
        <w:rPr>
          <w:rFonts w:ascii="Arial" w:eastAsiaTheme="minorHAnsi" w:hAnsi="Arial" w:cs="Arial"/>
          <w:b/>
          <w:color w:val="000000" w:themeColor="text1"/>
          <w:lang w:val="es-CO"/>
        </w:rPr>
      </w:pPr>
      <w:r w:rsidRPr="00CC24F4">
        <w:rPr>
          <w:rFonts w:ascii="Arial" w:eastAsiaTheme="minorHAnsi" w:hAnsi="Arial" w:cs="Arial"/>
          <w:b/>
          <w:color w:val="000000" w:themeColor="text1"/>
          <w:lang w:val="es-CO"/>
        </w:rPr>
        <w:t>Universidad Externado de Colombia</w:t>
      </w:r>
    </w:p>
    <w:p w14:paraId="116C0B02" w14:textId="77777777" w:rsidR="00C26111" w:rsidRPr="00CC24F4" w:rsidRDefault="00C26111" w:rsidP="00BB3B6B">
      <w:pPr>
        <w:pStyle w:val="Textoindependiente"/>
        <w:spacing w:before="1" w:line="360" w:lineRule="auto"/>
        <w:ind w:left="100" w:right="110"/>
        <w:jc w:val="both"/>
        <w:rPr>
          <w:rFonts w:ascii="Arial" w:eastAsiaTheme="minorHAnsi" w:hAnsi="Arial" w:cs="Arial"/>
          <w:b/>
          <w:color w:val="000000" w:themeColor="text1"/>
          <w:lang w:val="es-CO"/>
        </w:rPr>
      </w:pPr>
    </w:p>
    <w:p w14:paraId="78EF15C1" w14:textId="1BA85C70" w:rsidR="00C26111" w:rsidRPr="00CC24F4" w:rsidRDefault="00D16372" w:rsidP="00BB3B6B">
      <w:pPr>
        <w:pStyle w:val="Textoindependiente"/>
        <w:spacing w:before="1" w:line="360" w:lineRule="auto"/>
        <w:ind w:left="100" w:right="110"/>
        <w:jc w:val="both"/>
        <w:rPr>
          <w:rFonts w:ascii="Arial" w:eastAsiaTheme="minorHAnsi" w:hAnsi="Arial" w:cs="Arial"/>
          <w:b/>
          <w:color w:val="000000" w:themeColor="text1"/>
          <w:lang w:val="es-CO"/>
        </w:rPr>
      </w:pPr>
      <w:r>
        <w:rPr>
          <w:rFonts w:ascii="Arial" w:eastAsiaTheme="minorHAnsi" w:hAnsi="Arial" w:cs="Arial"/>
          <w:b/>
          <w:color w:val="000000" w:themeColor="text1"/>
          <w:lang w:val="es-CO"/>
        </w:rPr>
        <w:t xml:space="preserve">31 </w:t>
      </w:r>
      <w:r w:rsidR="00C26111" w:rsidRPr="00CC24F4">
        <w:rPr>
          <w:rFonts w:ascii="Arial" w:eastAsiaTheme="minorHAnsi" w:hAnsi="Arial" w:cs="Arial"/>
          <w:b/>
          <w:color w:val="000000" w:themeColor="text1"/>
          <w:lang w:val="es-CO"/>
        </w:rPr>
        <w:t xml:space="preserve">de </w:t>
      </w:r>
      <w:r>
        <w:rPr>
          <w:rFonts w:ascii="Arial" w:eastAsiaTheme="minorHAnsi" w:hAnsi="Arial" w:cs="Arial"/>
          <w:b/>
          <w:color w:val="000000" w:themeColor="text1"/>
          <w:lang w:val="es-CO"/>
        </w:rPr>
        <w:t xml:space="preserve">enero </w:t>
      </w:r>
      <w:r w:rsidR="00C26111" w:rsidRPr="00CC24F4">
        <w:rPr>
          <w:rFonts w:ascii="Arial" w:eastAsiaTheme="minorHAnsi" w:hAnsi="Arial" w:cs="Arial"/>
          <w:b/>
          <w:color w:val="000000" w:themeColor="text1"/>
          <w:lang w:val="es-CO"/>
        </w:rPr>
        <w:t>de 202</w:t>
      </w:r>
      <w:r>
        <w:rPr>
          <w:rFonts w:ascii="Arial" w:eastAsiaTheme="minorHAnsi" w:hAnsi="Arial" w:cs="Arial"/>
          <w:b/>
          <w:color w:val="000000" w:themeColor="text1"/>
          <w:lang w:val="es-CO"/>
        </w:rPr>
        <w:t>4</w:t>
      </w:r>
    </w:p>
    <w:p w14:paraId="072278A4" w14:textId="77777777" w:rsidR="00C26111" w:rsidRPr="00CC24F4" w:rsidRDefault="00C26111" w:rsidP="00BB3B6B">
      <w:pPr>
        <w:pStyle w:val="Textoindependiente"/>
        <w:spacing w:before="1" w:line="360" w:lineRule="auto"/>
        <w:ind w:left="100" w:right="110"/>
        <w:jc w:val="both"/>
        <w:rPr>
          <w:rFonts w:ascii="Arial" w:eastAsiaTheme="minorHAnsi" w:hAnsi="Arial" w:cs="Arial"/>
          <w:b/>
          <w:color w:val="000000" w:themeColor="text1"/>
          <w:lang w:val="es-CO"/>
        </w:rPr>
      </w:pPr>
    </w:p>
    <w:p w14:paraId="507AD1DE" w14:textId="77777777" w:rsidR="00C26111" w:rsidRPr="00CC24F4" w:rsidRDefault="00C26111" w:rsidP="00BB3B6B">
      <w:pPr>
        <w:pStyle w:val="Textoindependiente"/>
        <w:spacing w:before="1" w:line="360" w:lineRule="auto"/>
        <w:ind w:left="100" w:right="110"/>
        <w:jc w:val="both"/>
        <w:rPr>
          <w:rFonts w:ascii="Arial" w:eastAsiaTheme="minorHAnsi" w:hAnsi="Arial" w:cs="Arial"/>
          <w:b/>
          <w:color w:val="000000" w:themeColor="text1"/>
          <w:lang w:val="es-CO"/>
        </w:rPr>
      </w:pPr>
      <w:r w:rsidRPr="00CC24F4">
        <w:rPr>
          <w:rFonts w:ascii="Arial" w:eastAsiaTheme="minorHAnsi" w:hAnsi="Arial" w:cs="Arial"/>
          <w:b/>
          <w:color w:val="000000" w:themeColor="text1"/>
          <w:lang w:val="es-CO"/>
        </w:rPr>
        <w:t>Bogotá D.C., Colombia</w:t>
      </w:r>
    </w:p>
    <w:p w14:paraId="12D20486"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1E04381D" w14:textId="77777777" w:rsidR="00C26111" w:rsidRPr="00CC24F4" w:rsidRDefault="00C26111" w:rsidP="00BB3B6B">
      <w:pPr>
        <w:pStyle w:val="Textoindependiente"/>
        <w:spacing w:before="1" w:line="360" w:lineRule="auto"/>
        <w:ind w:right="110"/>
        <w:jc w:val="both"/>
        <w:rPr>
          <w:rFonts w:ascii="Arial" w:eastAsiaTheme="minorHAnsi" w:hAnsi="Arial" w:cs="Arial"/>
          <w:bCs/>
          <w:color w:val="000000" w:themeColor="text1"/>
          <w:lang w:val="es-CO"/>
        </w:rPr>
      </w:pPr>
    </w:p>
    <w:p w14:paraId="22E96330" w14:textId="77777777" w:rsidR="00C26111"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7FC2BD18" w14:textId="77777777" w:rsidR="00D16372" w:rsidRDefault="00D16372"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7EA712F2" w14:textId="77777777" w:rsidR="00D16372" w:rsidRPr="00CC24F4" w:rsidRDefault="00D16372"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6E8EFA2F" w14:textId="77777777" w:rsidR="00C26111" w:rsidRPr="00CC24F4" w:rsidRDefault="00C26111" w:rsidP="00BB3B6B">
      <w:pPr>
        <w:pStyle w:val="Textoindependiente"/>
        <w:spacing w:before="1" w:line="360" w:lineRule="auto"/>
        <w:ind w:right="110"/>
        <w:jc w:val="both"/>
        <w:rPr>
          <w:rFonts w:ascii="Arial" w:eastAsiaTheme="minorHAnsi" w:hAnsi="Arial" w:cs="Arial"/>
          <w:b/>
          <w:color w:val="000000" w:themeColor="text1"/>
          <w:lang w:val="es-CO"/>
        </w:rPr>
      </w:pPr>
    </w:p>
    <w:p w14:paraId="7E20BD6E"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r w:rsidRPr="00CC24F4">
        <w:rPr>
          <w:rFonts w:ascii="Arial" w:eastAsiaTheme="minorHAnsi" w:hAnsi="Arial" w:cs="Arial"/>
          <w:b/>
          <w:color w:val="000000" w:themeColor="text1"/>
          <w:lang w:val="es-CO"/>
        </w:rPr>
        <w:lastRenderedPageBreak/>
        <w:t>Compilado por</w:t>
      </w:r>
      <w:r w:rsidRPr="00CC24F4">
        <w:rPr>
          <w:rFonts w:ascii="Arial" w:eastAsiaTheme="minorHAnsi" w:hAnsi="Arial" w:cs="Arial"/>
          <w:bCs/>
          <w:color w:val="000000" w:themeColor="text1"/>
          <w:lang w:val="es-CO"/>
        </w:rPr>
        <w:t>:</w:t>
      </w:r>
    </w:p>
    <w:p w14:paraId="49101594"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0918A8E8"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r w:rsidRPr="00CC24F4">
        <w:rPr>
          <w:rFonts w:ascii="Arial" w:eastAsiaTheme="minorHAnsi" w:hAnsi="Arial" w:cs="Arial"/>
          <w:bCs/>
          <w:color w:val="000000" w:themeColor="text1"/>
          <w:lang w:val="es-CO"/>
        </w:rPr>
        <w:t>Leidy Carolina Porras Díaz</w:t>
      </w:r>
    </w:p>
    <w:p w14:paraId="12149377"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3A6A0523" w14:textId="77777777" w:rsidR="00C26111" w:rsidRPr="00CC24F4" w:rsidRDefault="00C26111" w:rsidP="00BB3B6B">
      <w:pPr>
        <w:pStyle w:val="Textoindependiente"/>
        <w:spacing w:before="1" w:line="360" w:lineRule="auto"/>
        <w:ind w:left="100" w:right="110"/>
        <w:jc w:val="both"/>
        <w:rPr>
          <w:rFonts w:ascii="Arial" w:eastAsiaTheme="minorHAnsi" w:hAnsi="Arial" w:cs="Arial"/>
          <w:b/>
          <w:color w:val="000000" w:themeColor="text1"/>
          <w:lang w:val="es-CO"/>
        </w:rPr>
      </w:pPr>
      <w:r w:rsidRPr="00CC24F4">
        <w:rPr>
          <w:rFonts w:ascii="Arial" w:eastAsiaTheme="minorHAnsi" w:hAnsi="Arial" w:cs="Arial"/>
          <w:b/>
          <w:color w:val="000000" w:themeColor="text1"/>
          <w:lang w:val="es-CO"/>
        </w:rPr>
        <w:t>Universidad Externado de Colombia</w:t>
      </w:r>
    </w:p>
    <w:p w14:paraId="1053DF71" w14:textId="77777777" w:rsidR="00C26111" w:rsidRPr="00CC24F4" w:rsidRDefault="00C26111" w:rsidP="00BB3B6B">
      <w:pPr>
        <w:pStyle w:val="Textoindependiente"/>
        <w:spacing w:before="1" w:line="360" w:lineRule="auto"/>
        <w:ind w:left="100" w:right="110"/>
        <w:jc w:val="both"/>
        <w:rPr>
          <w:rFonts w:ascii="Arial" w:eastAsiaTheme="minorHAnsi" w:hAnsi="Arial" w:cs="Arial"/>
          <w:b/>
          <w:color w:val="000000" w:themeColor="text1"/>
          <w:lang w:val="es-CO"/>
        </w:rPr>
      </w:pPr>
    </w:p>
    <w:p w14:paraId="7CAFAFB7"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r w:rsidRPr="00CC24F4">
        <w:rPr>
          <w:rFonts w:ascii="Arial" w:eastAsiaTheme="minorHAnsi" w:hAnsi="Arial" w:cs="Arial"/>
          <w:bCs/>
          <w:color w:val="000000" w:themeColor="text1"/>
          <w:lang w:val="es-CO"/>
        </w:rPr>
        <w:t>© Universidad Externado de Colombia</w:t>
      </w:r>
    </w:p>
    <w:p w14:paraId="7AF4EC20"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r w:rsidRPr="00CC24F4">
        <w:rPr>
          <w:rFonts w:ascii="Arial" w:eastAsiaTheme="minorHAnsi" w:hAnsi="Arial" w:cs="Arial"/>
          <w:bCs/>
          <w:color w:val="000000" w:themeColor="text1"/>
          <w:lang w:val="es-CO"/>
        </w:rPr>
        <w:t>Calle 12 No. 1-17 Este</w:t>
      </w:r>
    </w:p>
    <w:p w14:paraId="21137027"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r w:rsidRPr="00CC24F4">
        <w:rPr>
          <w:rFonts w:ascii="Arial" w:eastAsiaTheme="minorHAnsi" w:hAnsi="Arial" w:cs="Arial"/>
          <w:bCs/>
          <w:color w:val="000000" w:themeColor="text1"/>
          <w:lang w:val="es-CO"/>
        </w:rPr>
        <w:t>Bogotá, D.C., Colombia</w:t>
      </w:r>
    </w:p>
    <w:p w14:paraId="01C24AA2"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15B5E0C0"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r w:rsidRPr="00CC24F4">
        <w:rPr>
          <w:rFonts w:ascii="Arial" w:eastAsiaTheme="minorHAnsi" w:hAnsi="Arial" w:cs="Arial"/>
          <w:bCs/>
          <w:color w:val="000000" w:themeColor="text1"/>
          <w:lang w:val="es-CO"/>
        </w:rPr>
        <w:t xml:space="preserve">Teléfono: 282 60 66 Ext. 1105, 1106 </w:t>
      </w:r>
      <w:hyperlink r:id="rId5">
        <w:r w:rsidRPr="00CC24F4">
          <w:rPr>
            <w:rFonts w:ascii="Arial" w:eastAsiaTheme="minorHAnsi" w:hAnsi="Arial" w:cs="Arial"/>
            <w:bCs/>
            <w:color w:val="000000" w:themeColor="text1"/>
            <w:lang w:val="es-CO"/>
          </w:rPr>
          <w:t>esdercom@uexternado.edu.co</w:t>
        </w:r>
      </w:hyperlink>
    </w:p>
    <w:p w14:paraId="7D7BEC8E"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162F0D62" w14:textId="77777777"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p>
    <w:p w14:paraId="26211D94" w14:textId="5D6A7936" w:rsidR="00C26111" w:rsidRPr="00CC24F4" w:rsidRDefault="00C26111" w:rsidP="00BB3B6B">
      <w:pPr>
        <w:pStyle w:val="Textoindependiente"/>
        <w:spacing w:before="1" w:line="360" w:lineRule="auto"/>
        <w:ind w:left="100" w:right="110"/>
        <w:jc w:val="both"/>
        <w:rPr>
          <w:rFonts w:ascii="Arial" w:eastAsiaTheme="minorHAnsi" w:hAnsi="Arial" w:cs="Arial"/>
          <w:bCs/>
          <w:color w:val="000000" w:themeColor="text1"/>
          <w:lang w:val="es-CO"/>
        </w:rPr>
      </w:pPr>
      <w:r w:rsidRPr="00CC24F4">
        <w:rPr>
          <w:rFonts w:ascii="Arial" w:eastAsiaTheme="minorHAnsi" w:hAnsi="Arial" w:cs="Arial"/>
          <w:bCs/>
          <w:color w:val="000000" w:themeColor="text1"/>
          <w:lang w:val="es-CO"/>
        </w:rPr>
        <w:t xml:space="preserve">“El contenido de esta obra corresponde al derecho de expresión del (los) autor(es) y no compromete el pensamiento institucional de la Universidad Externado de Colombia, ni genera su responsabilidad frente a terceros. El (los) autor(es) asume(n) la responsabilidad por los derechos de autor y conexos contenidos en la obra, así como por la eventual información sensible publicada en ella” Bogotá, Colombia. </w:t>
      </w:r>
      <w:r>
        <w:rPr>
          <w:rFonts w:ascii="Arial" w:eastAsiaTheme="minorHAnsi" w:hAnsi="Arial" w:cs="Arial"/>
          <w:bCs/>
          <w:color w:val="000000" w:themeColor="text1"/>
          <w:lang w:val="es-CO"/>
        </w:rPr>
        <w:t xml:space="preserve">Enero </w:t>
      </w:r>
      <w:r w:rsidRPr="00CC24F4">
        <w:rPr>
          <w:rFonts w:ascii="Arial" w:eastAsiaTheme="minorHAnsi" w:hAnsi="Arial" w:cs="Arial"/>
          <w:bCs/>
          <w:color w:val="000000" w:themeColor="text1"/>
          <w:lang w:val="es-CO"/>
        </w:rPr>
        <w:t>202</w:t>
      </w:r>
      <w:r>
        <w:rPr>
          <w:rFonts w:ascii="Arial" w:eastAsiaTheme="minorHAnsi" w:hAnsi="Arial" w:cs="Arial"/>
          <w:bCs/>
          <w:color w:val="000000" w:themeColor="text1"/>
          <w:lang w:val="es-CO"/>
        </w:rPr>
        <w:t>4</w:t>
      </w:r>
      <w:r w:rsidRPr="00CC24F4">
        <w:rPr>
          <w:rFonts w:ascii="Arial" w:eastAsiaTheme="minorHAnsi" w:hAnsi="Arial" w:cs="Arial"/>
          <w:bCs/>
          <w:color w:val="000000" w:themeColor="text1"/>
          <w:lang w:val="es-CO"/>
        </w:rPr>
        <w:t>.</w:t>
      </w:r>
    </w:p>
    <w:p w14:paraId="5F787A59" w14:textId="77777777" w:rsidR="00C26111" w:rsidRDefault="00C26111" w:rsidP="00BB3B6B">
      <w:pPr>
        <w:spacing w:line="360" w:lineRule="auto"/>
        <w:jc w:val="both"/>
        <w:rPr>
          <w:rFonts w:ascii="Arial" w:hAnsi="Arial" w:cs="Arial"/>
          <w:bCs/>
          <w:color w:val="000000" w:themeColor="text1"/>
          <w:lang w:val="es-CO"/>
        </w:rPr>
      </w:pPr>
    </w:p>
    <w:p w14:paraId="2BFAA264" w14:textId="77777777" w:rsidR="00C26111" w:rsidRDefault="00C26111" w:rsidP="00BB3B6B">
      <w:pPr>
        <w:spacing w:line="360" w:lineRule="auto"/>
        <w:jc w:val="both"/>
        <w:rPr>
          <w:rFonts w:ascii="Arial" w:hAnsi="Arial" w:cs="Arial"/>
          <w:bCs/>
          <w:color w:val="000000" w:themeColor="text1"/>
          <w:lang w:val="es-CO"/>
        </w:rPr>
      </w:pPr>
    </w:p>
    <w:p w14:paraId="4934AC0C" w14:textId="77777777" w:rsidR="00C26111" w:rsidRDefault="00C26111" w:rsidP="00BB3B6B">
      <w:pPr>
        <w:spacing w:line="360" w:lineRule="auto"/>
        <w:jc w:val="both"/>
        <w:rPr>
          <w:rFonts w:ascii="Arial" w:hAnsi="Arial" w:cs="Arial"/>
          <w:bCs/>
          <w:color w:val="000000" w:themeColor="text1"/>
          <w:lang w:val="es-CO"/>
        </w:rPr>
      </w:pPr>
    </w:p>
    <w:p w14:paraId="04B91A69" w14:textId="77777777" w:rsidR="00C26111" w:rsidRDefault="00C26111" w:rsidP="00BB3B6B">
      <w:pPr>
        <w:spacing w:line="360" w:lineRule="auto"/>
        <w:jc w:val="both"/>
        <w:rPr>
          <w:rFonts w:ascii="Arial" w:hAnsi="Arial" w:cs="Arial"/>
          <w:bCs/>
          <w:color w:val="000000" w:themeColor="text1"/>
          <w:lang w:val="es-CO"/>
        </w:rPr>
      </w:pPr>
    </w:p>
    <w:p w14:paraId="4C36DDA6" w14:textId="77777777" w:rsidR="00C26111" w:rsidRDefault="00C26111" w:rsidP="00BB3B6B">
      <w:pPr>
        <w:spacing w:line="360" w:lineRule="auto"/>
        <w:jc w:val="both"/>
        <w:rPr>
          <w:rFonts w:ascii="Arial" w:hAnsi="Arial" w:cs="Arial"/>
          <w:bCs/>
          <w:color w:val="000000" w:themeColor="text1"/>
          <w:lang w:val="es-CO"/>
        </w:rPr>
      </w:pPr>
    </w:p>
    <w:p w14:paraId="6FE20949" w14:textId="77777777" w:rsidR="00C26111" w:rsidRDefault="00C26111" w:rsidP="00BB3B6B">
      <w:pPr>
        <w:spacing w:line="360" w:lineRule="auto"/>
        <w:jc w:val="both"/>
        <w:rPr>
          <w:rFonts w:ascii="Arial" w:hAnsi="Arial" w:cs="Arial"/>
          <w:bCs/>
          <w:color w:val="000000" w:themeColor="text1"/>
          <w:lang w:val="es-CO"/>
        </w:rPr>
      </w:pPr>
    </w:p>
    <w:p w14:paraId="4D8B2982" w14:textId="77777777" w:rsidR="00C26111" w:rsidRDefault="00C26111" w:rsidP="00BB3B6B">
      <w:pPr>
        <w:spacing w:line="360" w:lineRule="auto"/>
        <w:jc w:val="both"/>
        <w:rPr>
          <w:rFonts w:ascii="Arial" w:hAnsi="Arial" w:cs="Arial"/>
          <w:bCs/>
          <w:color w:val="000000" w:themeColor="text1"/>
          <w:lang w:val="es-CO"/>
        </w:rPr>
      </w:pPr>
    </w:p>
    <w:p w14:paraId="6EC440F5" w14:textId="77777777" w:rsidR="00C26111" w:rsidRDefault="00C26111" w:rsidP="00BB3B6B">
      <w:pPr>
        <w:spacing w:line="360" w:lineRule="auto"/>
        <w:jc w:val="both"/>
        <w:rPr>
          <w:rFonts w:ascii="Arial" w:hAnsi="Arial" w:cs="Arial"/>
          <w:bCs/>
          <w:color w:val="000000" w:themeColor="text1"/>
          <w:lang w:val="es-CO"/>
        </w:rPr>
      </w:pPr>
    </w:p>
    <w:p w14:paraId="79FCE3F2" w14:textId="77777777" w:rsidR="00C26111" w:rsidRDefault="00C26111" w:rsidP="00BB3B6B">
      <w:pPr>
        <w:spacing w:line="360" w:lineRule="auto"/>
        <w:jc w:val="both"/>
        <w:rPr>
          <w:rFonts w:ascii="Arial" w:hAnsi="Arial" w:cs="Arial"/>
          <w:bCs/>
          <w:color w:val="000000" w:themeColor="text1"/>
          <w:lang w:val="es-CO"/>
        </w:rPr>
      </w:pPr>
    </w:p>
    <w:p w14:paraId="75C1BF4F" w14:textId="77777777" w:rsidR="00C26111" w:rsidRPr="00CC24F4" w:rsidRDefault="00C26111" w:rsidP="00BB3B6B">
      <w:pPr>
        <w:spacing w:line="360" w:lineRule="auto"/>
        <w:jc w:val="both"/>
        <w:rPr>
          <w:rFonts w:ascii="Arial" w:hAnsi="Arial" w:cs="Arial"/>
          <w:bCs/>
          <w:color w:val="000000" w:themeColor="text1"/>
        </w:rPr>
      </w:pPr>
    </w:p>
    <w:p w14:paraId="24D53868" w14:textId="77777777" w:rsidR="00C26111" w:rsidRPr="00CC24F4" w:rsidRDefault="00C26111" w:rsidP="00BB3B6B">
      <w:pPr>
        <w:spacing w:line="360" w:lineRule="auto"/>
        <w:jc w:val="both"/>
        <w:rPr>
          <w:rFonts w:ascii="Arial" w:hAnsi="Arial" w:cs="Arial"/>
          <w:bCs/>
          <w:color w:val="000000" w:themeColor="text1"/>
        </w:rPr>
      </w:pPr>
    </w:p>
    <w:p w14:paraId="22E1A741" w14:textId="77777777" w:rsidR="00C26111" w:rsidRPr="00CC24F4" w:rsidRDefault="00C26111" w:rsidP="00BB3B6B">
      <w:pPr>
        <w:spacing w:line="360" w:lineRule="auto"/>
        <w:jc w:val="both"/>
        <w:rPr>
          <w:rFonts w:ascii="Arial" w:hAnsi="Arial" w:cs="Arial"/>
          <w:bCs/>
          <w:color w:val="000000" w:themeColor="text1"/>
        </w:rPr>
      </w:pPr>
    </w:p>
    <w:p w14:paraId="45DA284D" w14:textId="77777777" w:rsidR="00C26111" w:rsidRPr="00CC24F4" w:rsidRDefault="00C26111" w:rsidP="00BB3B6B">
      <w:pPr>
        <w:pStyle w:val="Textoindependiente"/>
        <w:spacing w:before="1" w:line="360" w:lineRule="auto"/>
        <w:ind w:right="110"/>
        <w:jc w:val="both"/>
        <w:rPr>
          <w:rFonts w:ascii="Arial" w:eastAsiaTheme="minorHAnsi" w:hAnsi="Arial" w:cs="Arial"/>
          <w:b/>
          <w:color w:val="000000" w:themeColor="text1"/>
          <w:lang w:val="es-CO"/>
        </w:rPr>
      </w:pPr>
      <w:r w:rsidRPr="00CC24F4">
        <w:rPr>
          <w:rFonts w:ascii="Arial" w:eastAsiaTheme="minorHAnsi" w:hAnsi="Arial" w:cs="Arial"/>
          <w:b/>
          <w:color w:val="000000" w:themeColor="text1"/>
          <w:lang w:val="es-CO"/>
        </w:rPr>
        <w:lastRenderedPageBreak/>
        <w:t>Apertura del evento e instalación del evento</w:t>
      </w:r>
    </w:p>
    <w:p w14:paraId="5D48FAF2" w14:textId="77777777" w:rsidR="00C26111" w:rsidRPr="00CC24F4" w:rsidRDefault="00C26111" w:rsidP="00BB3B6B">
      <w:pPr>
        <w:pStyle w:val="Textoindependiente"/>
        <w:spacing w:before="1" w:line="360" w:lineRule="auto"/>
        <w:ind w:right="110"/>
        <w:jc w:val="both"/>
        <w:rPr>
          <w:rFonts w:ascii="Arial" w:eastAsiaTheme="minorHAnsi" w:hAnsi="Arial" w:cs="Arial"/>
          <w:bCs/>
          <w:color w:val="000000" w:themeColor="text1"/>
          <w:lang w:val="es-CO"/>
        </w:rPr>
      </w:pPr>
    </w:p>
    <w:p w14:paraId="53D0021C" w14:textId="77777777" w:rsidR="00C26111" w:rsidRPr="00CC24F4" w:rsidRDefault="00C26111" w:rsidP="00BB3B6B">
      <w:pPr>
        <w:pStyle w:val="Textoindependiente"/>
        <w:spacing w:before="1" w:line="360" w:lineRule="auto"/>
        <w:ind w:right="110"/>
        <w:jc w:val="both"/>
        <w:rPr>
          <w:rFonts w:ascii="Arial" w:eastAsiaTheme="minorHAnsi" w:hAnsi="Arial" w:cs="Arial"/>
          <w:b/>
          <w:color w:val="000000" w:themeColor="text1"/>
          <w:lang w:val="es-CO"/>
        </w:rPr>
      </w:pPr>
      <w:r w:rsidRPr="00CC24F4">
        <w:rPr>
          <w:rFonts w:ascii="Arial" w:eastAsiaTheme="minorHAnsi" w:hAnsi="Arial" w:cs="Arial"/>
          <w:b/>
          <w:bCs/>
          <w:color w:val="000000" w:themeColor="text1"/>
          <w:lang w:val="es-CO"/>
        </w:rPr>
        <w:t xml:space="preserve">Intervención de la Directora del </w:t>
      </w:r>
      <w:r w:rsidRPr="00CC24F4">
        <w:rPr>
          <w:rFonts w:ascii="Arial" w:eastAsiaTheme="minorHAnsi" w:hAnsi="Arial" w:cs="Arial"/>
          <w:b/>
          <w:color w:val="000000" w:themeColor="text1"/>
          <w:lang w:val="es-CO"/>
        </w:rPr>
        <w:t>Departamento de Derecho, Comunicaciones y Tecnologías de la Información,</w:t>
      </w:r>
      <w:r w:rsidRPr="00CC24F4">
        <w:rPr>
          <w:rFonts w:ascii="Arial" w:eastAsiaTheme="minorHAnsi" w:hAnsi="Arial" w:cs="Arial"/>
          <w:b/>
          <w:bCs/>
          <w:color w:val="000000" w:themeColor="text1"/>
          <w:lang w:val="es-CO"/>
        </w:rPr>
        <w:t xml:space="preserve"> la Dra. Sandra Milena Ortiz Laverde</w:t>
      </w:r>
    </w:p>
    <w:p w14:paraId="537DE055" w14:textId="77777777" w:rsidR="00C26111" w:rsidRDefault="00C26111" w:rsidP="00BB3B6B">
      <w:pPr>
        <w:jc w:val="both"/>
        <w:rPr>
          <w:lang w:val="es-MX"/>
        </w:rPr>
      </w:pPr>
    </w:p>
    <w:p w14:paraId="313DCCA2" w14:textId="634D1F88" w:rsidR="00D16372" w:rsidRDefault="00E759F5" w:rsidP="00BB3B6B">
      <w:pPr>
        <w:jc w:val="both"/>
        <w:rPr>
          <w:lang w:val="es-MX"/>
        </w:rPr>
      </w:pPr>
      <w:r w:rsidRPr="00E759F5">
        <w:rPr>
          <w:lang w:val="es-MX"/>
        </w:rPr>
        <w:t>La doctora Sandra instaló el evento diciendo que, por 32 proyectos de los cuales son 11 novedosos, de allí la denominación que le dieron a esta conferencia denominada Perspectivas de Regulador 2024-2025. Entonces, sin más preámbulo, le dio la palabra al doctor Silva, agradeciéndole al equipo</w:t>
      </w:r>
      <w:r w:rsidR="008D2E99">
        <w:rPr>
          <w:lang w:val="es-MX"/>
        </w:rPr>
        <w:t xml:space="preserve">, </w:t>
      </w:r>
      <w:r w:rsidRPr="00E759F5">
        <w:rPr>
          <w:lang w:val="es-MX"/>
        </w:rPr>
        <w:t xml:space="preserve">Mariana, Julián y Nicole por haber aceptado esta invitación y por haber trabajado de manera mancomunada para la presentación de esta conferencia. </w:t>
      </w:r>
    </w:p>
    <w:p w14:paraId="76D7E221" w14:textId="77777777" w:rsidR="00BB3B6B" w:rsidRDefault="00BB3B6B" w:rsidP="00BB3B6B">
      <w:pPr>
        <w:jc w:val="both"/>
        <w:rPr>
          <w:lang w:val="es-MX"/>
        </w:rPr>
      </w:pPr>
    </w:p>
    <w:p w14:paraId="61C2AE58" w14:textId="04A7607B" w:rsidR="00BB3B6B" w:rsidRDefault="00BB3B6B" w:rsidP="00BB3B6B">
      <w:pPr>
        <w:pStyle w:val="Textoindependiente"/>
        <w:spacing w:before="1" w:line="360" w:lineRule="auto"/>
        <w:ind w:right="110"/>
        <w:jc w:val="both"/>
        <w:rPr>
          <w:rFonts w:ascii="Arial" w:eastAsiaTheme="minorHAnsi" w:hAnsi="Arial" w:cs="Arial"/>
          <w:b/>
          <w:bCs/>
          <w:color w:val="000000" w:themeColor="text1"/>
          <w:lang w:val="es-CO"/>
        </w:rPr>
      </w:pPr>
      <w:r w:rsidRPr="00CC24F4">
        <w:rPr>
          <w:rFonts w:ascii="Arial" w:eastAsiaTheme="minorHAnsi" w:hAnsi="Arial" w:cs="Arial"/>
          <w:b/>
          <w:bCs/>
          <w:color w:val="000000" w:themeColor="text1"/>
          <w:lang w:val="es-CO"/>
        </w:rPr>
        <w:t>Intervención de</w:t>
      </w:r>
      <w:r>
        <w:rPr>
          <w:rFonts w:ascii="Arial" w:eastAsiaTheme="minorHAnsi" w:hAnsi="Arial" w:cs="Arial"/>
          <w:b/>
          <w:bCs/>
          <w:color w:val="000000" w:themeColor="text1"/>
          <w:lang w:val="es-CO"/>
        </w:rPr>
        <w:t>l Doctor Nicolás Silva</w:t>
      </w:r>
    </w:p>
    <w:p w14:paraId="01F7E2B5" w14:textId="77777777" w:rsidR="00510D93" w:rsidRPr="00BB3B6B" w:rsidRDefault="00510D93" w:rsidP="00BB3B6B">
      <w:pPr>
        <w:pStyle w:val="Textoindependiente"/>
        <w:spacing w:before="1" w:line="360" w:lineRule="auto"/>
        <w:ind w:right="110"/>
        <w:jc w:val="both"/>
        <w:rPr>
          <w:rFonts w:ascii="Arial" w:eastAsiaTheme="minorHAnsi" w:hAnsi="Arial" w:cs="Arial"/>
          <w:b/>
          <w:bCs/>
          <w:color w:val="000000" w:themeColor="text1"/>
          <w:lang w:val="es-CO"/>
        </w:rPr>
      </w:pPr>
    </w:p>
    <w:p w14:paraId="26A95441" w14:textId="77777777" w:rsidR="00CA74B4" w:rsidRPr="00CA74B4" w:rsidRDefault="00CA74B4" w:rsidP="00CA74B4">
      <w:pPr>
        <w:jc w:val="both"/>
        <w:rPr>
          <w:lang w:val="es-MX"/>
        </w:rPr>
      </w:pPr>
      <w:r w:rsidRPr="00CA74B4">
        <w:rPr>
          <w:lang w:val="es-MX"/>
        </w:rPr>
        <w:t xml:space="preserve">El doctor Silva expresó su agradecimiento por la bienvenida y la introducción, destacando la importancia de este espacio que les permite, como comisión de regulación, presentar su hoja de ruta principal para la vigencia 2024. Además, señaló que algunas de las iniciativas también abarcarán el año 2025, ya que no es posible adelantar todas las iniciativas en una única vigencia. Explicó que, como se ha mencionado en otros espacios, desean anticipar al sector las principales iniciativas. </w:t>
      </w:r>
    </w:p>
    <w:p w14:paraId="5BDA2C1A" w14:textId="77777777" w:rsidR="008D2E99" w:rsidRDefault="008D2E99" w:rsidP="00CA74B4">
      <w:pPr>
        <w:jc w:val="both"/>
        <w:rPr>
          <w:lang w:val="es-MX"/>
        </w:rPr>
      </w:pPr>
    </w:p>
    <w:p w14:paraId="515040E3" w14:textId="5BDACAB8" w:rsidR="00CA74B4" w:rsidRPr="00CA74B4" w:rsidRDefault="00CA74B4" w:rsidP="00CA74B4">
      <w:pPr>
        <w:jc w:val="both"/>
        <w:rPr>
          <w:lang w:val="es-MX"/>
        </w:rPr>
      </w:pPr>
      <w:r w:rsidRPr="00CA74B4">
        <w:rPr>
          <w:lang w:val="es-MX"/>
        </w:rPr>
        <w:t>Anunció que presentaría de manera concreta las líneas e iniciativas planteadas por el regulador para este año y los próximos meses, con el objetivo de exponerlas y, abrir un breve espacio para preguntas. Sin más preámbulo, comenzó con la presentación, iniciando con un vistazo del panorama del sector, enfatizando que este es uno de los múltiples insumos que toman en cuenta para la elaboración de su agenda.</w:t>
      </w:r>
    </w:p>
    <w:p w14:paraId="0ED63370" w14:textId="77777777" w:rsidR="00CA74B4" w:rsidRPr="00CA74B4" w:rsidRDefault="00CA74B4" w:rsidP="00CA74B4">
      <w:pPr>
        <w:jc w:val="both"/>
        <w:rPr>
          <w:lang w:val="es-MX"/>
        </w:rPr>
      </w:pPr>
    </w:p>
    <w:p w14:paraId="3F439913" w14:textId="4A80038A" w:rsidR="00BB3B6B" w:rsidRDefault="00CA74B4" w:rsidP="00CA74B4">
      <w:pPr>
        <w:jc w:val="both"/>
        <w:rPr>
          <w:lang w:val="es-MX"/>
        </w:rPr>
      </w:pPr>
      <w:r w:rsidRPr="00CA74B4">
        <w:rPr>
          <w:lang w:val="es-MX"/>
        </w:rPr>
        <w:t>En términos generales, señaló que en el sector TIC se ofrecen distintos servicios de comunicaciones, algunos de los cuales han aumentado en cuanto a su penetración. Específicamente, destacó los servicios móviles, mencionando que cada vez hay mayor adopción del servicio de internet móvil en el país. Indicó que la penetración ha venido aumentando y que, al corte del tercer trimestre, se estaba hablando de casi un 83% de penetración en cuanto al número de accesos respecto de la población, lo cual mantiene una dinámica creciente. En cuanto a internet fijo, mencionó que también se ha registrado un crecimiento importante y significativo, con una penetración cercana al 50% comparado con hogares, aunque aún persisten grandes retos.</w:t>
      </w:r>
    </w:p>
    <w:p w14:paraId="791F3831" w14:textId="77777777" w:rsidR="00CA74B4" w:rsidRDefault="00CA74B4" w:rsidP="00BB3B6B">
      <w:pPr>
        <w:jc w:val="both"/>
        <w:rPr>
          <w:lang w:val="es-MX"/>
        </w:rPr>
      </w:pPr>
    </w:p>
    <w:p w14:paraId="0B2CADA0" w14:textId="77777777" w:rsidR="00695EC5" w:rsidRPr="00695EC5" w:rsidRDefault="00695EC5" w:rsidP="00695EC5">
      <w:pPr>
        <w:jc w:val="both"/>
        <w:rPr>
          <w:lang w:val="es-MX"/>
        </w:rPr>
      </w:pPr>
      <w:r w:rsidRPr="00695EC5">
        <w:rPr>
          <w:lang w:val="es-MX"/>
        </w:rPr>
        <w:t xml:space="preserve">El doctor Silva dijo que eso formaba parte de lo que vislumbraban en la política pública y que, por supuesto, la regulación estaba directamente relacionada con ello. Explicó que iban a tratar más adelante sobre la telefonía móvil, es decir, los servicios de voz, los cuales tenían tal vez la mayor penetración, con un registro de 85,000,000 de líneas, </w:t>
      </w:r>
      <w:r w:rsidRPr="00695EC5">
        <w:rPr>
          <w:lang w:val="es-MX"/>
        </w:rPr>
        <w:lastRenderedPageBreak/>
        <w:t>representando una penetración de más del 160%. Por otro lado, mencionó que otros servicios como la telefonía fija y la televisión por suscripción ya no crecían tanto y se mantenían estancados, aunque seguían siendo importantes para muchos colombianos. Estos servicios también estaban muy mapeados por la comisión.</w:t>
      </w:r>
    </w:p>
    <w:p w14:paraId="4C0D77D7" w14:textId="77777777" w:rsidR="00695EC5" w:rsidRPr="00695EC5" w:rsidRDefault="00695EC5" w:rsidP="00695EC5">
      <w:pPr>
        <w:jc w:val="both"/>
        <w:rPr>
          <w:lang w:val="es-MX"/>
        </w:rPr>
      </w:pPr>
    </w:p>
    <w:p w14:paraId="3BBB4D18" w14:textId="77777777" w:rsidR="00695EC5" w:rsidRPr="00695EC5" w:rsidRDefault="00695EC5" w:rsidP="00695EC5">
      <w:pPr>
        <w:jc w:val="both"/>
        <w:rPr>
          <w:lang w:val="es-MX"/>
        </w:rPr>
      </w:pPr>
      <w:r w:rsidRPr="00695EC5">
        <w:rPr>
          <w:lang w:val="es-MX"/>
        </w:rPr>
        <w:t>Asimismo, resaltó la relevancia del sector postal dentro del marco del regulador convergente. Indicó que los servicios de correo seguían presentes en la prestación de todas las actividades postales del país, con algo más de 5,000,000 de envíos en mensajería expresa y en el contexto del comercio electrónico, que también había crecido significativamente, alcanzando alrededor de 67 a 68 millones de envíos. En cuanto a los giros postales, mencionó que seguían siendo un medio de pago utilizado en el país, con casi 20 millones de transacciones en el periodo de análisis, lo que también generaba ingresos correspondientes.</w:t>
      </w:r>
    </w:p>
    <w:p w14:paraId="1B897154" w14:textId="77777777" w:rsidR="00695EC5" w:rsidRPr="00695EC5" w:rsidRDefault="00695EC5" w:rsidP="00695EC5">
      <w:pPr>
        <w:jc w:val="both"/>
        <w:rPr>
          <w:lang w:val="es-MX"/>
        </w:rPr>
      </w:pPr>
    </w:p>
    <w:p w14:paraId="02CD74AB" w14:textId="77777777" w:rsidR="00695EC5" w:rsidRPr="00695EC5" w:rsidRDefault="00695EC5" w:rsidP="00695EC5">
      <w:pPr>
        <w:jc w:val="both"/>
        <w:rPr>
          <w:lang w:val="es-MX"/>
        </w:rPr>
      </w:pPr>
      <w:r w:rsidRPr="00695EC5">
        <w:rPr>
          <w:lang w:val="es-MX"/>
        </w:rPr>
        <w:t>Esto lo presentó como un contexto para mostrar dónde estaban y cuál fue el punto de partida de la comisión. Añadió que, en su ejercicio como regulador, no solo era necesario observar cómo estaba el país, sino también identificar las tendencias regulatorias internacionales y cómo estas se alineaban con los pilares estratégicos que iban a profundizar.</w:t>
      </w:r>
    </w:p>
    <w:p w14:paraId="1F016CBC" w14:textId="77777777" w:rsidR="00695EC5" w:rsidRPr="00695EC5" w:rsidRDefault="00695EC5" w:rsidP="00695EC5">
      <w:pPr>
        <w:jc w:val="both"/>
        <w:rPr>
          <w:lang w:val="es-MX"/>
        </w:rPr>
      </w:pPr>
    </w:p>
    <w:p w14:paraId="14B52D03" w14:textId="77777777" w:rsidR="00695EC5" w:rsidRPr="00695EC5" w:rsidRDefault="00695EC5" w:rsidP="00695EC5">
      <w:pPr>
        <w:jc w:val="both"/>
        <w:rPr>
          <w:lang w:val="es-MX"/>
        </w:rPr>
      </w:pPr>
      <w:r w:rsidRPr="00695EC5">
        <w:rPr>
          <w:lang w:val="es-MX"/>
        </w:rPr>
        <w:t>En ese orden de ideas, mencionó que reservaron todos los elementos considerados relevantes para su ejercicio y también las necesidades sectoriales dentro del proceso de discusión y construcción de la agenda. Este proceso no comenzaba solo con una publicación en octubre, sino con un trabajo previo realizado con distintos agentes en los meses anteriores. Establecieron un enfoque que se orienta a la razón de ser del regulador, que en esencia es mejorar y maximizar el bienestar de los usuarios y garantizar el pluralismo informativo.</w:t>
      </w:r>
    </w:p>
    <w:p w14:paraId="058C85DD" w14:textId="77777777" w:rsidR="00695EC5" w:rsidRPr="00695EC5" w:rsidRDefault="00695EC5" w:rsidP="00695EC5">
      <w:pPr>
        <w:jc w:val="both"/>
        <w:rPr>
          <w:lang w:val="es-MX"/>
        </w:rPr>
      </w:pPr>
    </w:p>
    <w:p w14:paraId="29C2C349" w14:textId="1DC0F300" w:rsidR="00A40D5B" w:rsidRDefault="00695EC5" w:rsidP="00695EC5">
      <w:pPr>
        <w:jc w:val="both"/>
        <w:rPr>
          <w:lang w:val="es-MX"/>
        </w:rPr>
      </w:pPr>
      <w:r w:rsidRPr="00695EC5">
        <w:rPr>
          <w:lang w:val="es-MX"/>
        </w:rPr>
        <w:t>Para ello, buscaron promover la competencia en los mercados, el despliegue y la compartición de infraestructura como aspectos clave para maximizar la penetración y ampliar las redes. Destacó la consideración de análisis diferenciales respecto a áreas apartadas y zonas rurales y de difícil acceso, con el objetivo principal de contribuir a la transformación digital del país. Aseguró que estaban alineados con la política pública y enfocados en cumplir con su misión de calidad, siempre en beneficio de los usuarios.</w:t>
      </w:r>
    </w:p>
    <w:p w14:paraId="4CC699BD" w14:textId="77777777" w:rsidR="00CA74B4" w:rsidRDefault="00CA74B4" w:rsidP="00BB3B6B">
      <w:pPr>
        <w:jc w:val="both"/>
        <w:rPr>
          <w:lang w:val="es-MX"/>
        </w:rPr>
      </w:pPr>
    </w:p>
    <w:p w14:paraId="76C5242A" w14:textId="77777777" w:rsidR="009727C7" w:rsidRPr="009727C7" w:rsidRDefault="009727C7" w:rsidP="009727C7">
      <w:pPr>
        <w:jc w:val="both"/>
        <w:rPr>
          <w:lang w:val="es-MX"/>
        </w:rPr>
      </w:pPr>
      <w:r w:rsidRPr="009727C7">
        <w:rPr>
          <w:lang w:val="es-MX"/>
        </w:rPr>
        <w:t>El doctor Silva dijo que, en términos generales, el plan de trabajo que definieron partía de un proceso de discusión que comenzó a construirse varios meses atrás, desde mediados de año, y surgió como una consolidación de distintas iniciativas. Estas iniciativas fueron finalmente sometidas a consideración del sector y se publicaron en octubre, enviándose como insumo para la publicación final realizada en diciembre del año pasado.</w:t>
      </w:r>
    </w:p>
    <w:p w14:paraId="04095F64" w14:textId="77777777" w:rsidR="009727C7" w:rsidRPr="009727C7" w:rsidRDefault="009727C7" w:rsidP="009727C7">
      <w:pPr>
        <w:jc w:val="both"/>
        <w:rPr>
          <w:lang w:val="es-MX"/>
        </w:rPr>
      </w:pPr>
    </w:p>
    <w:p w14:paraId="769D23D1" w14:textId="77777777" w:rsidR="009727C7" w:rsidRPr="009727C7" w:rsidRDefault="009727C7" w:rsidP="009727C7">
      <w:pPr>
        <w:jc w:val="both"/>
        <w:rPr>
          <w:lang w:val="es-MX"/>
        </w:rPr>
      </w:pPr>
      <w:r w:rsidRPr="009727C7">
        <w:rPr>
          <w:lang w:val="es-MX"/>
        </w:rPr>
        <w:t xml:space="preserve">Como resultado de este proceso, el doctor Silva observó que tenían una agenda compuesta de 32 proyectos y actividades. Aclaró que no solo se trataba de adelantar </w:t>
      </w:r>
      <w:r w:rsidRPr="009727C7">
        <w:rPr>
          <w:lang w:val="es-MX"/>
        </w:rPr>
        <w:lastRenderedPageBreak/>
        <w:t>proyectos regulatorios, sino también de realizar estudios y otras tareas periódicas y continuas. Estas actividades estaban distribuidas porcentualmente en distintas áreas, haciendo énfasis en el área de mercados y competencia, con proyectos que ya venían de tiempo atrás y otros que se seguirían desarrollando.</w:t>
      </w:r>
    </w:p>
    <w:p w14:paraId="0573F460" w14:textId="77777777" w:rsidR="009727C7" w:rsidRPr="009727C7" w:rsidRDefault="009727C7" w:rsidP="009727C7">
      <w:pPr>
        <w:jc w:val="both"/>
        <w:rPr>
          <w:lang w:val="es-MX"/>
        </w:rPr>
      </w:pPr>
    </w:p>
    <w:p w14:paraId="4C72CCA2" w14:textId="77777777" w:rsidR="009727C7" w:rsidRPr="009727C7" w:rsidRDefault="009727C7" w:rsidP="009727C7">
      <w:pPr>
        <w:jc w:val="both"/>
        <w:rPr>
          <w:lang w:val="es-MX"/>
        </w:rPr>
      </w:pPr>
      <w:r w:rsidRPr="009727C7">
        <w:rPr>
          <w:lang w:val="es-MX"/>
        </w:rPr>
        <w:t>El 28% de las actividades estaban enfocadas en innovación y mejora regulatoria. Silva destacó este punto, mencionando que como regulador buscaban ampliar el horizonte y la forma de ver la regulación, estando abiertos a esquemas de colaboración con la academia y a modelos de innovación para una regulación diferencial. Este pilar seguía siendo muy importante para la comisión.</w:t>
      </w:r>
    </w:p>
    <w:p w14:paraId="6B2140CF" w14:textId="77777777" w:rsidR="009727C7" w:rsidRPr="009727C7" w:rsidRDefault="009727C7" w:rsidP="009727C7">
      <w:pPr>
        <w:jc w:val="both"/>
        <w:rPr>
          <w:lang w:val="es-MX"/>
        </w:rPr>
      </w:pPr>
    </w:p>
    <w:p w14:paraId="75C03CDB" w14:textId="77777777" w:rsidR="009727C7" w:rsidRPr="009727C7" w:rsidRDefault="009727C7" w:rsidP="009727C7">
      <w:pPr>
        <w:jc w:val="both"/>
        <w:rPr>
          <w:lang w:val="es-MX"/>
        </w:rPr>
      </w:pPr>
      <w:r w:rsidRPr="009727C7">
        <w:rPr>
          <w:lang w:val="es-MX"/>
        </w:rPr>
        <w:t>En línea con la edición convergente de la Ley 1978 de 2019, mencionó que tenían un conjunto de actividades relacionadas no solo con el derecho de los usuarios sino también con las audiencias. Indicó que podían realizar análisis y tomar decisiones en beneficio de las audiencias.</w:t>
      </w:r>
    </w:p>
    <w:p w14:paraId="6AEBA0E8" w14:textId="77777777" w:rsidR="009727C7" w:rsidRPr="009727C7" w:rsidRDefault="009727C7" w:rsidP="009727C7">
      <w:pPr>
        <w:jc w:val="both"/>
        <w:rPr>
          <w:lang w:val="es-MX"/>
        </w:rPr>
      </w:pPr>
    </w:p>
    <w:p w14:paraId="6C88CE27" w14:textId="77777777" w:rsidR="009727C7" w:rsidRPr="009727C7" w:rsidRDefault="009727C7" w:rsidP="009727C7">
      <w:pPr>
        <w:jc w:val="both"/>
        <w:rPr>
          <w:lang w:val="es-MX"/>
        </w:rPr>
      </w:pPr>
      <w:r w:rsidRPr="009727C7">
        <w:rPr>
          <w:lang w:val="es-MX"/>
        </w:rPr>
        <w:t>También destacó la importancia de las iniciativas relacionadas con la gestión de sus grupos de valor, incluyendo gremios, la industria, operadores, usuarios y audiencias. Mencionó la necesidad de una mejor interacción con estos agentes y con la academia.</w:t>
      </w:r>
    </w:p>
    <w:p w14:paraId="5759A155" w14:textId="77777777" w:rsidR="009727C7" w:rsidRPr="009727C7" w:rsidRDefault="009727C7" w:rsidP="009727C7">
      <w:pPr>
        <w:jc w:val="both"/>
        <w:rPr>
          <w:lang w:val="es-MX"/>
        </w:rPr>
      </w:pPr>
    </w:p>
    <w:p w14:paraId="248F1AC3" w14:textId="77777777" w:rsidR="009727C7" w:rsidRPr="009727C7" w:rsidRDefault="009727C7" w:rsidP="009727C7">
      <w:pPr>
        <w:jc w:val="both"/>
        <w:rPr>
          <w:lang w:val="es-MX"/>
        </w:rPr>
      </w:pPr>
      <w:r w:rsidRPr="009727C7">
        <w:rPr>
          <w:lang w:val="es-MX"/>
        </w:rPr>
        <w:t xml:space="preserve">Finalmente, señaló el reto de mejorar sus capacidades institucionales a través del uso de tecnologías, no solo en su funcionamiento administrativo sino también en la aplicación de la regulación. </w:t>
      </w:r>
    </w:p>
    <w:p w14:paraId="21027F5C" w14:textId="77777777" w:rsidR="009727C7" w:rsidRPr="009727C7" w:rsidRDefault="009727C7" w:rsidP="009727C7">
      <w:pPr>
        <w:jc w:val="both"/>
        <w:rPr>
          <w:lang w:val="es-MX"/>
        </w:rPr>
      </w:pPr>
    </w:p>
    <w:p w14:paraId="1EFCCE5B" w14:textId="77DCC210" w:rsidR="006B40DE" w:rsidRDefault="009727C7" w:rsidP="009727C7">
      <w:pPr>
        <w:jc w:val="both"/>
        <w:rPr>
          <w:lang w:val="es-MX"/>
        </w:rPr>
      </w:pPr>
      <w:r w:rsidRPr="009727C7">
        <w:rPr>
          <w:lang w:val="es-MX"/>
        </w:rPr>
        <w:t>Con este preámbulo, Silva quería entrar a detallar las iniciativas que componían la agenda regulatoria para la vigencia actual y algunas para 2025, comenzando por el pilar del bienestar y derecho de los usuarios. Entre las medidas planteadas, destacó la actualización de medidas relacionadas con el registro de números excluidos. Esta iniciativa, que venía de tiempo atrás, se abordaba en una primera aproximación desde la recepción de mensajes. En virtud de la Ley 2300, conocida como "Ley dejen de fregar", tenían un mandato para ampliar las reglas que buscan proteger el derecho a la intimidad de los consumidores, estableciendo canales, horarios y periodicidad para contactar a los usuarios. Planeaban tener una decisión regulatoria en el segundo trimestre de 2024 para dar cumplimiento a la ley.</w:t>
      </w:r>
    </w:p>
    <w:p w14:paraId="3918817E" w14:textId="77777777" w:rsidR="00FA0B8F" w:rsidRDefault="00FA0B8F" w:rsidP="009727C7">
      <w:pPr>
        <w:jc w:val="both"/>
        <w:rPr>
          <w:lang w:val="es-MX"/>
        </w:rPr>
      </w:pPr>
    </w:p>
    <w:p w14:paraId="52AD033B" w14:textId="77777777" w:rsidR="0069005E" w:rsidRPr="0069005E" w:rsidRDefault="0069005E" w:rsidP="0069005E">
      <w:pPr>
        <w:jc w:val="both"/>
        <w:rPr>
          <w:lang w:val="es-MX"/>
        </w:rPr>
      </w:pPr>
      <w:r w:rsidRPr="0069005E">
        <w:rPr>
          <w:lang w:val="es-MX"/>
        </w:rPr>
        <w:t xml:space="preserve">Dentro de los proyectos nuevos y atendiendo una problemática identificada relacionada con la calidad de los servicios, que tiene distintas consideraciones, uno de los aspectos que se pretendía abordar era la disponibilidad o revisar indicadores de disponibilidad de los elementos de las redes de acceso, tanto fijas como móviles. En ese orden de ideas, también se consideraron algunos aspectos relativos a la medición de los servicios de datos fijos. En esa línea, lo que se buscaba era estudiar con mayor profundidad cuáles eran los indicadores asociados a redes fijas y móviles, inicialmente en materia de disponibilidad. Asimismo, se pretendía observar cómo se daba, desde una perspectiva holística, la obligación regulatoria con el diseño, entrega y ejecución </w:t>
      </w:r>
      <w:r w:rsidRPr="0069005E">
        <w:rPr>
          <w:lang w:val="es-MX"/>
        </w:rPr>
        <w:lastRenderedPageBreak/>
        <w:t>de planes de mejora por parte de los operadores en aquellos casos en los que no se cumplían los indicadores definidos en la regulación.</w:t>
      </w:r>
    </w:p>
    <w:p w14:paraId="5261CE91" w14:textId="77777777" w:rsidR="0069005E" w:rsidRPr="0069005E" w:rsidRDefault="0069005E" w:rsidP="0069005E">
      <w:pPr>
        <w:jc w:val="both"/>
        <w:rPr>
          <w:lang w:val="es-MX"/>
        </w:rPr>
      </w:pPr>
    </w:p>
    <w:p w14:paraId="0D3E6C3E" w14:textId="77777777" w:rsidR="0069005E" w:rsidRPr="0069005E" w:rsidRDefault="0069005E" w:rsidP="0069005E">
      <w:pPr>
        <w:jc w:val="both"/>
        <w:rPr>
          <w:lang w:val="es-MX"/>
        </w:rPr>
      </w:pPr>
      <w:r w:rsidRPr="0069005E">
        <w:rPr>
          <w:lang w:val="es-MX"/>
        </w:rPr>
        <w:t>Para esto, se contemplaba un trabajo articulado con el Ministerio de Tecnologías de la Información y las Comunicaciones (MinTIC), específicamente en lo relacionado con sus facultades de vigilancia, inspección y control. Al final, se analizaría si aplicaba o si era pertinente hacer algún tipo de cambio en los indicadores de calidad de servicios de datos fijos. Esto estaba previsto dentro del proyecto y se trabajaría a lo largo del año, con la idea de tener una propuesta hacia el final del año para tomar una decisión en el primer trimestre del año siguiente.</w:t>
      </w:r>
    </w:p>
    <w:p w14:paraId="2ECB38A7" w14:textId="77777777" w:rsidR="0069005E" w:rsidRPr="0069005E" w:rsidRDefault="0069005E" w:rsidP="0069005E">
      <w:pPr>
        <w:jc w:val="both"/>
        <w:rPr>
          <w:lang w:val="es-MX"/>
        </w:rPr>
      </w:pPr>
    </w:p>
    <w:p w14:paraId="45492600" w14:textId="77777777" w:rsidR="0069005E" w:rsidRPr="0069005E" w:rsidRDefault="0069005E" w:rsidP="0069005E">
      <w:pPr>
        <w:jc w:val="both"/>
        <w:rPr>
          <w:lang w:val="es-MX"/>
        </w:rPr>
      </w:pPr>
      <w:r w:rsidRPr="0069005E">
        <w:rPr>
          <w:lang w:val="es-MX"/>
        </w:rPr>
        <w:t>Este proyecto se articulaba directamente con un ejercicio de monitoreo de la calidad de los servicios de comunicaciones. El objetivo era disponer de información objetiva para determinar las condiciones de calidad y permitir a los usuarios conocer la calidad de los servicios que recibían. Para esto, se realizaron dos tipos de mediciones: unas objetivas, basadas en la experiencia del usuario, y otras subjetivas, orientadas a la percepción de los usuarios. Con ello, se pretendía tener una visión más amplia y aproximada de la experiencia de los servicios de comunicaciones.</w:t>
      </w:r>
    </w:p>
    <w:p w14:paraId="2243A4D8" w14:textId="77777777" w:rsidR="0069005E" w:rsidRPr="0069005E" w:rsidRDefault="0069005E" w:rsidP="0069005E">
      <w:pPr>
        <w:jc w:val="both"/>
        <w:rPr>
          <w:lang w:val="es-MX"/>
        </w:rPr>
      </w:pPr>
    </w:p>
    <w:p w14:paraId="1817B9F4" w14:textId="77777777" w:rsidR="0069005E" w:rsidRPr="0069005E" w:rsidRDefault="0069005E" w:rsidP="0069005E">
      <w:pPr>
        <w:jc w:val="both"/>
        <w:rPr>
          <w:lang w:val="es-MX"/>
        </w:rPr>
      </w:pPr>
      <w:r w:rsidRPr="0069005E">
        <w:rPr>
          <w:lang w:val="es-MX"/>
        </w:rPr>
        <w:t>En cuanto a las mediciones, se tenían previstas publicaciones en el segundo trimestre y una publicación al final de la vigencia, es decir, en el cuarto trimestre de 2024. Siguiendo con la línea de mercados y competencia, se continuaría una iniciativa previamente trabajada, el análisis de los mercados de televisión. Esta aproximación buscaba identificar si podían existir problemas de competencia en mercados minoristas y, de ser así, observar si había algo relacionado con los mercados mayoristas. Este ejercicio ya se había venido realizando y se publicó una propuesta, con la decisión prevista para el segundo trimestre del año en curso.</w:t>
      </w:r>
    </w:p>
    <w:p w14:paraId="6145840E" w14:textId="77777777" w:rsidR="0069005E" w:rsidRPr="0069005E" w:rsidRDefault="0069005E" w:rsidP="0069005E">
      <w:pPr>
        <w:jc w:val="both"/>
        <w:rPr>
          <w:lang w:val="es-MX"/>
        </w:rPr>
      </w:pPr>
    </w:p>
    <w:p w14:paraId="2EFF2799" w14:textId="2A55461F" w:rsidR="00C456F4" w:rsidRDefault="0069005E" w:rsidP="0069005E">
      <w:pPr>
        <w:jc w:val="both"/>
        <w:rPr>
          <w:lang w:val="es-MX"/>
        </w:rPr>
      </w:pPr>
      <w:r w:rsidRPr="0069005E">
        <w:rPr>
          <w:lang w:val="es-MX"/>
        </w:rPr>
        <w:t>En cuanto a la remuneración de servicios fijos, se planteaba determinar si los valores utilizados para la remuneración de redes fijas correspondían con lo que debería ser. La comisión había venido realizando este análisis desde tiempo atrás, y en este caso, se revisaba cómo se estaba dando dicha remuneración. Además, se hacía un análisis de competencia en el servicio de telefonía fija con el objetivo de determinar si la regulación vigente se adaptaba a las dinámicas actuales del mercado o si requería alguna modificación</w:t>
      </w:r>
      <w:r>
        <w:rPr>
          <w:lang w:val="es-MX"/>
        </w:rPr>
        <w:t xml:space="preserve">. </w:t>
      </w:r>
    </w:p>
    <w:p w14:paraId="70F3FDA3" w14:textId="77777777" w:rsidR="0069005E" w:rsidRDefault="0069005E" w:rsidP="0069005E">
      <w:pPr>
        <w:jc w:val="both"/>
        <w:rPr>
          <w:lang w:val="es-MX"/>
        </w:rPr>
      </w:pPr>
    </w:p>
    <w:p w14:paraId="74AA859C" w14:textId="77777777" w:rsidR="00776B09" w:rsidRPr="00776B09" w:rsidRDefault="00776B09" w:rsidP="00776B09">
      <w:pPr>
        <w:jc w:val="both"/>
        <w:rPr>
          <w:lang w:val="es-MX"/>
        </w:rPr>
      </w:pPr>
      <w:r w:rsidRPr="00776B09">
        <w:rPr>
          <w:lang w:val="es-MX"/>
        </w:rPr>
        <w:t>Se determinó si existía poder de mercado por parte de alguno o algunos oferentes, y se examinó si esto implicaba la posibilidad de producir alguna medida correctiva en caso de fallas. Vale la pena mencionar que, dentro de los análisis realizados, siempre se buscó tener un enfoque de simplificación normativa, con el objetivo de determinar si había reglas que, por obsolescencia, evolución del mercado o evolución tecnológica, podían ser modificadas o eliminadas. Este enfoque destacó en el proyecto específico, pero también aplicó para todo el quehacer regulatorio.</w:t>
      </w:r>
    </w:p>
    <w:p w14:paraId="4CD4A716" w14:textId="77777777" w:rsidR="00776B09" w:rsidRPr="00776B09" w:rsidRDefault="00776B09" w:rsidP="00776B09">
      <w:pPr>
        <w:jc w:val="both"/>
        <w:rPr>
          <w:lang w:val="es-MX"/>
        </w:rPr>
      </w:pPr>
    </w:p>
    <w:p w14:paraId="151AC2BF" w14:textId="77777777" w:rsidR="00776B09" w:rsidRPr="00776B09" w:rsidRDefault="00776B09" w:rsidP="00776B09">
      <w:pPr>
        <w:jc w:val="both"/>
        <w:rPr>
          <w:lang w:val="es-MX"/>
        </w:rPr>
      </w:pPr>
      <w:r w:rsidRPr="00776B09">
        <w:rPr>
          <w:lang w:val="es-MX"/>
        </w:rPr>
        <w:lastRenderedPageBreak/>
        <w:t>Otro de los aspectos revisados fue el reglamento de redes internas de telecomunicaciones (RITEL). La comisión venía trabajando en esto desde tiempo atrás, y se buscaba dar cumplimiento a una disposición que establecía que cada cinco años se debía revisar estos reglamentos. Se consideraron la evolución de los tipos de construcción, las necesidades de los usuarios y otras consideraciones, y se determinaron posibles modificaciones. Esta revisión se publicó en el tercer trimestre del año en curso y la decisión se tomó en el primer trimestre del siguiente año.</w:t>
      </w:r>
    </w:p>
    <w:p w14:paraId="3EADE55D" w14:textId="77777777" w:rsidR="00776B09" w:rsidRPr="00776B09" w:rsidRDefault="00776B09" w:rsidP="00776B09">
      <w:pPr>
        <w:jc w:val="both"/>
        <w:rPr>
          <w:lang w:val="es-MX"/>
        </w:rPr>
      </w:pPr>
    </w:p>
    <w:p w14:paraId="304501AB" w14:textId="77777777" w:rsidR="00776B09" w:rsidRPr="00776B09" w:rsidRDefault="00776B09" w:rsidP="00776B09">
      <w:pPr>
        <w:jc w:val="both"/>
        <w:rPr>
          <w:lang w:val="es-MX"/>
        </w:rPr>
      </w:pPr>
      <w:r w:rsidRPr="00776B09">
        <w:rPr>
          <w:lang w:val="es-MX"/>
        </w:rPr>
        <w:t>En cuanto al régimen de programación y publicidad, se trabajó en la revisión y actualización de las condiciones regulatorias que aplican al servicio de televisión en materia de programación. Se consideraron aspectos como las repeticiones de emisiones, aspectos relativos a la publicidad y otros espacios institucionales. Esta propuesta estuvo en discusión y se esperaban resultados para el segundo trimestre del año en curso.</w:t>
      </w:r>
    </w:p>
    <w:p w14:paraId="625DD1A3" w14:textId="77777777" w:rsidR="00776B09" w:rsidRPr="00776B09" w:rsidRDefault="00776B09" w:rsidP="00776B09">
      <w:pPr>
        <w:jc w:val="both"/>
        <w:rPr>
          <w:lang w:val="es-MX"/>
        </w:rPr>
      </w:pPr>
    </w:p>
    <w:p w14:paraId="44405639" w14:textId="77777777" w:rsidR="00776B09" w:rsidRPr="00776B09" w:rsidRDefault="00776B09" w:rsidP="00776B09">
      <w:pPr>
        <w:jc w:val="both"/>
        <w:rPr>
          <w:lang w:val="es-MX"/>
        </w:rPr>
      </w:pPr>
      <w:r w:rsidRPr="00776B09">
        <w:rPr>
          <w:lang w:val="es-MX"/>
        </w:rPr>
        <w:t>Otro aspecto destacado fue la inversión en el sector. La comisión impulsó una iniciativa para conocer la inversión real en el sector en el país. Se realizó una medición y monitoreo de la inversión ejecutada tanto por parte de las empresas como de las entidades públicas del sector de telecomunicaciones. Esto tenía como objetivo determinar el comportamiento de la inversión, observar si se estancaba o crecía, y comparar a nivel internacional. La publicación de los datos, que requería consolidar información de distintas fuentes, se tenía prevista para el final del año, proporcionando una referencia sobre la evolución en esta materia.</w:t>
      </w:r>
    </w:p>
    <w:p w14:paraId="6FADFF00" w14:textId="77777777" w:rsidR="007C59D6" w:rsidRPr="00776B09" w:rsidRDefault="007C59D6" w:rsidP="00776B09">
      <w:pPr>
        <w:jc w:val="both"/>
        <w:rPr>
          <w:lang w:val="es-MX"/>
        </w:rPr>
      </w:pPr>
    </w:p>
    <w:p w14:paraId="29E2992F" w14:textId="77777777" w:rsidR="002D69B6" w:rsidRPr="002D69B6" w:rsidRDefault="002D69B6" w:rsidP="002D69B6">
      <w:pPr>
        <w:jc w:val="both"/>
        <w:rPr>
          <w:lang w:val="es-MX"/>
        </w:rPr>
      </w:pPr>
      <w:r w:rsidRPr="002D69B6">
        <w:rPr>
          <w:lang w:val="es-MX"/>
        </w:rPr>
        <w:t>Se determinaron aquellas condiciones a nivel municipal que restringían el despliegue de infraestructura. Para esto, como se había hecho anteriormente, se continuaron las actividades de revisión de normativas territoriales y la implicación de las barreras existentes, con la intención de que los distintos municipios pudieran levantar estas barreras. Esta tarea, continua y ardua, ya había logrado certificar más de 800 municipios, quedando un reto importante con los próximos 300 municipios, en el cual se continuó trabajando comprometidamente en conjunto con el MinTIC.</w:t>
      </w:r>
    </w:p>
    <w:p w14:paraId="751B69BA" w14:textId="77777777" w:rsidR="002D69B6" w:rsidRPr="002D69B6" w:rsidRDefault="002D69B6" w:rsidP="002D69B6">
      <w:pPr>
        <w:jc w:val="both"/>
        <w:rPr>
          <w:lang w:val="es-MX"/>
        </w:rPr>
      </w:pPr>
    </w:p>
    <w:p w14:paraId="37B3F39D" w14:textId="77777777" w:rsidR="002D69B6" w:rsidRPr="002D69B6" w:rsidRDefault="002D69B6" w:rsidP="002D69B6">
      <w:pPr>
        <w:jc w:val="both"/>
        <w:rPr>
          <w:lang w:val="es-MX"/>
        </w:rPr>
      </w:pPr>
      <w:r w:rsidRPr="002D69B6">
        <w:rPr>
          <w:lang w:val="es-MX"/>
        </w:rPr>
        <w:t>Siguiendo con las actividades en el eje de mercados y competencia, se trabajó en la revisión del régimen tarifario del mercado de envíos masivos, conforme al Plan Nacional de Desarrollo. Específicamente, se revisó la tarifa mínima para los servicios de mensajería expresa de objetos postales masivos, regulada por la ley 1369 de 2009. Se identificaron distorsiones significativas en el mercado, y se planteó una propuesta regulatoria para cumplir con el mandato de la ley. Se esperaba tomar una decisión en el segundo trimestre del año en curso.</w:t>
      </w:r>
    </w:p>
    <w:p w14:paraId="0D95AF5F" w14:textId="77777777" w:rsidR="002D69B6" w:rsidRPr="002D69B6" w:rsidRDefault="002D69B6" w:rsidP="002D69B6">
      <w:pPr>
        <w:jc w:val="both"/>
        <w:rPr>
          <w:lang w:val="es-MX"/>
        </w:rPr>
      </w:pPr>
    </w:p>
    <w:p w14:paraId="4275811D" w14:textId="77777777" w:rsidR="002D69B6" w:rsidRPr="002D69B6" w:rsidRDefault="002D69B6" w:rsidP="002D69B6">
      <w:pPr>
        <w:jc w:val="both"/>
        <w:rPr>
          <w:lang w:val="es-MX"/>
        </w:rPr>
      </w:pPr>
      <w:r w:rsidRPr="002D69B6">
        <w:rPr>
          <w:lang w:val="es-MX"/>
        </w:rPr>
        <w:t xml:space="preserve">En cuanto a servicios móviles, se revisaron los mercados relevantes. Se adelantaron dos iniciativas importantes: la primera, sobre el mercado de voz de servicios móviles, en la cual se adoptaron nueve medidas informadas al sector; y la segunda, sobre el </w:t>
      </w:r>
      <w:r w:rsidRPr="002D69B6">
        <w:rPr>
          <w:lang w:val="es-MX"/>
        </w:rPr>
        <w:lastRenderedPageBreak/>
        <w:t>mercado de internet móvil, que se puso en discusión sectorial para determinar posibles cambios regulatorios.</w:t>
      </w:r>
    </w:p>
    <w:p w14:paraId="30E718D1" w14:textId="77777777" w:rsidR="002D69B6" w:rsidRPr="002D69B6" w:rsidRDefault="002D69B6" w:rsidP="002D69B6">
      <w:pPr>
        <w:jc w:val="both"/>
        <w:rPr>
          <w:lang w:val="es-MX"/>
        </w:rPr>
      </w:pPr>
    </w:p>
    <w:p w14:paraId="2CAFD741" w14:textId="77777777" w:rsidR="002D69B6" w:rsidRPr="002D69B6" w:rsidRDefault="002D69B6" w:rsidP="002D69B6">
      <w:pPr>
        <w:jc w:val="both"/>
        <w:rPr>
          <w:lang w:val="es-MX"/>
        </w:rPr>
      </w:pPr>
      <w:r w:rsidRPr="002D69B6">
        <w:rPr>
          <w:lang w:val="es-MX"/>
        </w:rPr>
        <w:t>En la prestación de servicios de comunicaciones, se analizó el servicio portador, que transporta señales a lo largo del país e internacionalmente. Se identificaron problemáticas especialmente relevantes en zonas apartadas, y se planteó la revisión de posibles medidas regulatorias para mitigar estos problemas. Esta actividad tuvo un componente significativo de mejora de conectividad y fortalecimiento en el ámbito regional, y se buscó plantear una propuesta regulatoria en el transcurso del trimestre, con la intención de tomar una decisión no más allá del tercer trimestre del año en curso.</w:t>
      </w:r>
    </w:p>
    <w:p w14:paraId="70E19D78" w14:textId="77777777" w:rsidR="002D69B6" w:rsidRPr="002D69B6" w:rsidRDefault="002D69B6" w:rsidP="002D69B6">
      <w:pPr>
        <w:jc w:val="both"/>
        <w:rPr>
          <w:lang w:val="es-MX"/>
        </w:rPr>
      </w:pPr>
    </w:p>
    <w:p w14:paraId="1A630207" w14:textId="77777777" w:rsidR="002D69B6" w:rsidRPr="002D69B6" w:rsidRDefault="002D69B6" w:rsidP="002D69B6">
      <w:pPr>
        <w:jc w:val="both"/>
        <w:rPr>
          <w:lang w:val="es-MX"/>
        </w:rPr>
      </w:pPr>
      <w:r w:rsidRPr="002D69B6">
        <w:rPr>
          <w:lang w:val="es-MX"/>
        </w:rPr>
        <w:t>Además, se revisó la radiodifusión sonora en el país, iniciando con un diagnóstico y estableciendo si era necesario definir mercados relevantes mayoristas o minoristas. Este análisis cualitativo y cuantitativo buscó identificar preferencias, usos y hábitos, y se planeó desarrollar análisis de competencia más específicos en fases posteriores para determinar si era necesario adoptar medidas.</w:t>
      </w:r>
    </w:p>
    <w:p w14:paraId="63517CB7" w14:textId="77777777" w:rsidR="002D69B6" w:rsidRPr="002D69B6" w:rsidRDefault="002D69B6" w:rsidP="002D69B6">
      <w:pPr>
        <w:jc w:val="both"/>
        <w:rPr>
          <w:lang w:val="es-MX"/>
        </w:rPr>
      </w:pPr>
    </w:p>
    <w:p w14:paraId="482A5ED5" w14:textId="77777777" w:rsidR="002D69B6" w:rsidRPr="002D69B6" w:rsidRDefault="002D69B6" w:rsidP="002D69B6">
      <w:pPr>
        <w:jc w:val="both"/>
        <w:rPr>
          <w:lang w:val="es-MX"/>
        </w:rPr>
      </w:pPr>
      <w:r w:rsidRPr="002D69B6">
        <w:rPr>
          <w:lang w:val="es-MX"/>
        </w:rPr>
        <w:t>Se profundizó en el análisis de los servicios empaquetados para declarar si estos mercados eran susceptibles de regulación ex ante. Este análisis se llevó a cabo durante todo el año, con la intención de adoptar medidas pertinentes a inicios del 2025, particularmente en el segundo trimestre.</w:t>
      </w:r>
    </w:p>
    <w:p w14:paraId="1C84EFDE" w14:textId="77777777" w:rsidR="002D69B6" w:rsidRPr="002D69B6" w:rsidRDefault="002D69B6" w:rsidP="002D69B6">
      <w:pPr>
        <w:jc w:val="both"/>
        <w:rPr>
          <w:lang w:val="es-MX"/>
        </w:rPr>
      </w:pPr>
    </w:p>
    <w:p w14:paraId="32F2CD00" w14:textId="77777777" w:rsidR="002D69B6" w:rsidRPr="002D69B6" w:rsidRDefault="002D69B6" w:rsidP="002D69B6">
      <w:pPr>
        <w:jc w:val="both"/>
        <w:rPr>
          <w:lang w:val="es-MX"/>
        </w:rPr>
      </w:pPr>
      <w:r w:rsidRPr="002D69B6">
        <w:rPr>
          <w:lang w:val="es-MX"/>
        </w:rPr>
        <w:t>En cuanto al roaming automático nacional, se hizo un seguimiento permanente a su desempeño, publicando información frecuentemente. Se buscó identificar si en ciertos ámbitos geográficos esta instalación esencial ya no lo era, gracias a la expansión de cobertura propia por parte de los operadores, promoviendo la competencia basada en infraestructura y servicios. Esta tarea se adelantó a lo largo del año, con medidas previstas para el 2025.</w:t>
      </w:r>
    </w:p>
    <w:p w14:paraId="27AF3911" w14:textId="77777777" w:rsidR="002D69B6" w:rsidRPr="002D69B6" w:rsidRDefault="002D69B6" w:rsidP="002D69B6">
      <w:pPr>
        <w:jc w:val="both"/>
        <w:rPr>
          <w:lang w:val="es-MX"/>
        </w:rPr>
      </w:pPr>
    </w:p>
    <w:p w14:paraId="082D0045" w14:textId="1E27D9E8" w:rsidR="002D69B6" w:rsidRPr="002D69B6" w:rsidRDefault="002D69B6" w:rsidP="002D69B6">
      <w:pPr>
        <w:jc w:val="both"/>
        <w:rPr>
          <w:lang w:val="es-MX"/>
        </w:rPr>
      </w:pPr>
      <w:r w:rsidRPr="002D69B6">
        <w:rPr>
          <w:lang w:val="es-MX"/>
        </w:rPr>
        <w:t xml:space="preserve">Por último, se abordaron las disposiciones del </w:t>
      </w:r>
      <w:r w:rsidR="00AD00B4">
        <w:rPr>
          <w:lang w:val="es-MX"/>
        </w:rPr>
        <w:t>D</w:t>
      </w:r>
      <w:r w:rsidRPr="002D69B6">
        <w:rPr>
          <w:lang w:val="es-MX"/>
        </w:rPr>
        <w:t>ecreto 1079 de 2023 del gobierno nacional. Se evaluó la necesidad de definir condiciones regulatorias para promover el acceso a internet fijo comunitario en el país, considerando aspectos como reportes de información, condiciones de calidad, seguridad y protección a usuarios. Esta propuesta se planteó para el tercer trimestre del año en curso, con medidas a adoptar no más tarde del primer trimestre de 2025.</w:t>
      </w:r>
    </w:p>
    <w:p w14:paraId="4170084B" w14:textId="77777777" w:rsidR="002D69B6" w:rsidRPr="002D69B6" w:rsidRDefault="002D69B6" w:rsidP="002D69B6">
      <w:pPr>
        <w:jc w:val="both"/>
        <w:rPr>
          <w:lang w:val="es-MX"/>
        </w:rPr>
      </w:pPr>
    </w:p>
    <w:p w14:paraId="01FB0C0D" w14:textId="77777777" w:rsidR="002D69B6" w:rsidRPr="002D69B6" w:rsidRDefault="002D69B6" w:rsidP="002D69B6">
      <w:pPr>
        <w:jc w:val="both"/>
        <w:rPr>
          <w:lang w:val="es-MX"/>
        </w:rPr>
      </w:pPr>
      <w:r w:rsidRPr="002D69B6">
        <w:rPr>
          <w:lang w:val="es-MX"/>
        </w:rPr>
        <w:t>Con esto, se concluyeron las iniciativas relacionadas con mercados y competencia.</w:t>
      </w:r>
    </w:p>
    <w:p w14:paraId="76E700B1" w14:textId="77777777" w:rsidR="00776B09" w:rsidRDefault="00776B09" w:rsidP="00BB3B6B">
      <w:pPr>
        <w:jc w:val="both"/>
        <w:rPr>
          <w:lang w:val="es-MX"/>
        </w:rPr>
      </w:pPr>
    </w:p>
    <w:p w14:paraId="3063765E" w14:textId="77777777" w:rsidR="00021E8E" w:rsidRPr="00021E8E" w:rsidRDefault="00021E8E" w:rsidP="00021E8E">
      <w:pPr>
        <w:jc w:val="both"/>
        <w:rPr>
          <w:lang w:val="es-MX"/>
        </w:rPr>
      </w:pPr>
      <w:r w:rsidRPr="00021E8E">
        <w:rPr>
          <w:lang w:val="es-MX"/>
        </w:rPr>
        <w:t xml:space="preserve">En el ámbito de innovación y mejora regulatoria, se trabajaron en proyectos con dos componentes principales. El primero abordaba las herramientas de mejora continua relacionadas con la calidad de productos y servicios 4G. La segunda fase se centró en las excepciones de publicidad de los proyectos regulatorios. En cuanto a la primera etapa, se establecieron condiciones relativas a los servicios 4G, con la adopción de </w:t>
      </w:r>
      <w:r w:rsidRPr="00021E8E">
        <w:rPr>
          <w:lang w:val="es-MX"/>
        </w:rPr>
        <w:lastRenderedPageBreak/>
        <w:t>medidas por parte de la comisión en el primer trimestre del año en curso. Para la segunda fase, se realizó un análisis detallado durante el año, llevando a la publicación de una propuesta hacia finales del año y a una decisión a inicios de 2025.</w:t>
      </w:r>
    </w:p>
    <w:p w14:paraId="72C0D1BB" w14:textId="77777777" w:rsidR="00021E8E" w:rsidRPr="00021E8E" w:rsidRDefault="00021E8E" w:rsidP="00021E8E">
      <w:pPr>
        <w:jc w:val="both"/>
        <w:rPr>
          <w:lang w:val="es-MX"/>
        </w:rPr>
      </w:pPr>
    </w:p>
    <w:p w14:paraId="6A3AEE1D" w14:textId="77777777" w:rsidR="00021E8E" w:rsidRPr="00021E8E" w:rsidRDefault="00021E8E" w:rsidP="00021E8E">
      <w:pPr>
        <w:jc w:val="both"/>
        <w:rPr>
          <w:lang w:val="es-MX"/>
        </w:rPr>
      </w:pPr>
      <w:r w:rsidRPr="00021E8E">
        <w:rPr>
          <w:lang w:val="es-MX"/>
        </w:rPr>
        <w:t>En cuanto al estudio de plataformas "over the top" en el sector, se determinaron preferencias de consumo y patrones de uso por parte de los usuarios, y se analizó la relación entre estos servicios y los tradicionales de comunicaciones. Este estudio se realizó a través de encuestas estructuradas y ejercicios econométricos, proporcionando una visión detallada de la interacción entre ambos tipos de servicios.</w:t>
      </w:r>
    </w:p>
    <w:p w14:paraId="71CDC00C" w14:textId="77777777" w:rsidR="00021E8E" w:rsidRPr="00021E8E" w:rsidRDefault="00021E8E" w:rsidP="00021E8E">
      <w:pPr>
        <w:jc w:val="both"/>
        <w:rPr>
          <w:lang w:val="es-MX"/>
        </w:rPr>
      </w:pPr>
    </w:p>
    <w:p w14:paraId="7D4D93AD" w14:textId="6264E07E" w:rsidR="00021E8E" w:rsidRPr="00021E8E" w:rsidRDefault="00021E8E" w:rsidP="00021E8E">
      <w:pPr>
        <w:jc w:val="both"/>
        <w:rPr>
          <w:lang w:val="es-MX"/>
        </w:rPr>
      </w:pPr>
      <w:r w:rsidRPr="00021E8E">
        <w:rPr>
          <w:lang w:val="es-MX"/>
        </w:rPr>
        <w:t>Además, se evaluaron las medidas regulatorias previamente expedidas por el regulador, publicando frecuentemente los resultados de estas evaluaciones. Se revisaron específicamente la modificación del esquema de numeración y marcación (</w:t>
      </w:r>
      <w:r w:rsidR="00AD00B4">
        <w:rPr>
          <w:lang w:val="es-MX"/>
        </w:rPr>
        <w:t>R</w:t>
      </w:r>
      <w:r w:rsidRPr="00021E8E">
        <w:rPr>
          <w:lang w:val="es-MX"/>
        </w:rPr>
        <w:t xml:space="preserve">esolución 5826), y las </w:t>
      </w:r>
      <w:r w:rsidR="00AD00B4">
        <w:rPr>
          <w:lang w:val="es-MX"/>
        </w:rPr>
        <w:t>R</w:t>
      </w:r>
      <w:r w:rsidRPr="00021E8E">
        <w:rPr>
          <w:lang w:val="es-MX"/>
        </w:rPr>
        <w:t>esoluciones 6333 y 6383 relacionadas con servicios de televisión. Este ejercicio se realizó de manera continua durante todo el año, sin perjuicio de incluir otras mediciones o análisis de medidas distintas.</w:t>
      </w:r>
    </w:p>
    <w:p w14:paraId="242755DA" w14:textId="77777777" w:rsidR="00021E8E" w:rsidRPr="00021E8E" w:rsidRDefault="00021E8E" w:rsidP="00021E8E">
      <w:pPr>
        <w:jc w:val="both"/>
        <w:rPr>
          <w:lang w:val="es-MX"/>
        </w:rPr>
      </w:pPr>
    </w:p>
    <w:p w14:paraId="1415455E" w14:textId="53052A26" w:rsidR="00021E8E" w:rsidRPr="00021E8E" w:rsidRDefault="00021E8E" w:rsidP="00021E8E">
      <w:pPr>
        <w:jc w:val="both"/>
        <w:rPr>
          <w:lang w:val="es-MX"/>
        </w:rPr>
      </w:pPr>
      <w:r w:rsidRPr="00021E8E">
        <w:rPr>
          <w:lang w:val="es-MX"/>
        </w:rPr>
        <w:t xml:space="preserve">En cuanto al fortalecimiento de los sectores regulados, se coordinó con la academia para generar nuevas herramientas e información que aportaran al desarrollo de los procesos regulatorios. </w:t>
      </w:r>
    </w:p>
    <w:p w14:paraId="0F12F155" w14:textId="77777777" w:rsidR="00021E8E" w:rsidRPr="00021E8E" w:rsidRDefault="00021E8E" w:rsidP="00021E8E">
      <w:pPr>
        <w:jc w:val="both"/>
        <w:rPr>
          <w:lang w:val="es-MX"/>
        </w:rPr>
      </w:pPr>
    </w:p>
    <w:p w14:paraId="64C0F69C" w14:textId="77777777" w:rsidR="00021E8E" w:rsidRPr="00021E8E" w:rsidRDefault="00021E8E" w:rsidP="00021E8E">
      <w:pPr>
        <w:jc w:val="both"/>
        <w:rPr>
          <w:lang w:val="es-MX"/>
        </w:rPr>
      </w:pPr>
      <w:r w:rsidRPr="00021E8E">
        <w:rPr>
          <w:lang w:val="es-MX"/>
        </w:rPr>
        <w:t>Se anticiparon tendencias tecnológicas y se analizó la evolución de las redes móviles de nueva generación, tanto a nivel nacional como internacional. Se evaluó la calidad de la experiencia de los usuarios, la oferta de servicios y aplicaciones, y aspectos técnicos relacionados con redes 5G standalone, identificando futuros retos para el país.</w:t>
      </w:r>
    </w:p>
    <w:p w14:paraId="59C1A95E" w14:textId="77777777" w:rsidR="00021E8E" w:rsidRPr="00021E8E" w:rsidRDefault="00021E8E" w:rsidP="00021E8E">
      <w:pPr>
        <w:jc w:val="both"/>
        <w:rPr>
          <w:lang w:val="es-MX"/>
        </w:rPr>
      </w:pPr>
    </w:p>
    <w:p w14:paraId="758B6E29" w14:textId="77777777" w:rsidR="00021E8E" w:rsidRPr="00021E8E" w:rsidRDefault="00021E8E" w:rsidP="00021E8E">
      <w:pPr>
        <w:jc w:val="both"/>
        <w:rPr>
          <w:lang w:val="es-MX"/>
        </w:rPr>
      </w:pPr>
      <w:r w:rsidRPr="00021E8E">
        <w:rPr>
          <w:lang w:val="es-MX"/>
        </w:rPr>
        <w:t>Se inició un proceso de simplificación del marco regulatorio, aplicando criterios relacionados con la evolución del mercado, la tecnología, la duplicidad normativa y normas transitorias que ya habían cumplido su objetivo. Este ejercicio se desarrolló a lo largo del año, con la expectativa de tener un marco simplificado a mediados de 2025.</w:t>
      </w:r>
    </w:p>
    <w:p w14:paraId="010E1422" w14:textId="77777777" w:rsidR="00021E8E" w:rsidRPr="00021E8E" w:rsidRDefault="00021E8E" w:rsidP="00021E8E">
      <w:pPr>
        <w:jc w:val="both"/>
        <w:rPr>
          <w:lang w:val="es-MX"/>
        </w:rPr>
      </w:pPr>
    </w:p>
    <w:p w14:paraId="14270BEF" w14:textId="77777777" w:rsidR="00021E8E" w:rsidRPr="00021E8E" w:rsidRDefault="00021E8E" w:rsidP="00021E8E">
      <w:pPr>
        <w:jc w:val="both"/>
        <w:rPr>
          <w:lang w:val="es-MX"/>
        </w:rPr>
      </w:pPr>
      <w:r w:rsidRPr="00021E8E">
        <w:rPr>
          <w:lang w:val="es-MX"/>
        </w:rPr>
        <w:t>Se realizaron estudios adicionales sobre el impacto de los servicios y mercados digitales en los derechos de los usuarios, y se continuó analizando nuevos esquemas de compartición de infraestructura, tanto activa como pasiva, para facilitar el despliegue de 5G y promover la competencia.</w:t>
      </w:r>
    </w:p>
    <w:p w14:paraId="3901906A" w14:textId="77777777" w:rsidR="00021E8E" w:rsidRPr="00021E8E" w:rsidRDefault="00021E8E" w:rsidP="00021E8E">
      <w:pPr>
        <w:jc w:val="both"/>
        <w:rPr>
          <w:lang w:val="es-MX"/>
        </w:rPr>
      </w:pPr>
    </w:p>
    <w:p w14:paraId="0C0E0784" w14:textId="77777777" w:rsidR="00021E8E" w:rsidRPr="00021E8E" w:rsidRDefault="00021E8E" w:rsidP="00021E8E">
      <w:pPr>
        <w:jc w:val="both"/>
        <w:rPr>
          <w:lang w:val="es-MX"/>
        </w:rPr>
      </w:pPr>
      <w:r w:rsidRPr="00021E8E">
        <w:rPr>
          <w:lang w:val="es-MX"/>
        </w:rPr>
        <w:t>Se convocó la primera convocatoria convergente de "sandbox" regulatorio, involucrando servicios tradicionales de telecomunicaciones y audiovisuales. Esta convocatoria buscó impulsar la participación de distintos agentes en proyectos convergentes, promoviendo la innovación.</w:t>
      </w:r>
    </w:p>
    <w:p w14:paraId="11431C63" w14:textId="77777777" w:rsidR="00021E8E" w:rsidRPr="00021E8E" w:rsidRDefault="00021E8E" w:rsidP="00021E8E">
      <w:pPr>
        <w:jc w:val="both"/>
        <w:rPr>
          <w:lang w:val="es-MX"/>
        </w:rPr>
      </w:pPr>
    </w:p>
    <w:p w14:paraId="56A4B5BD" w14:textId="77777777" w:rsidR="00021E8E" w:rsidRPr="00021E8E" w:rsidRDefault="00021E8E" w:rsidP="00021E8E">
      <w:pPr>
        <w:jc w:val="both"/>
        <w:rPr>
          <w:lang w:val="es-MX"/>
        </w:rPr>
      </w:pPr>
      <w:r w:rsidRPr="00021E8E">
        <w:rPr>
          <w:lang w:val="es-MX"/>
        </w:rPr>
        <w:lastRenderedPageBreak/>
        <w:t>Se fortaleció la gestión de información hacia los grupos de valor, destacando el reporte de industria de los sectores de comunicaciones, con una versión más simplificada e interactiva prevista para el tercer trimestre de 2024.</w:t>
      </w:r>
    </w:p>
    <w:p w14:paraId="07DD0136" w14:textId="77777777" w:rsidR="00021E8E" w:rsidRPr="00021E8E" w:rsidRDefault="00021E8E" w:rsidP="00021E8E">
      <w:pPr>
        <w:jc w:val="both"/>
        <w:rPr>
          <w:lang w:val="es-MX"/>
        </w:rPr>
      </w:pPr>
    </w:p>
    <w:p w14:paraId="528ECBB5" w14:textId="44841729" w:rsidR="002D69B6" w:rsidRDefault="00021E8E" w:rsidP="00021E8E">
      <w:pPr>
        <w:jc w:val="both"/>
        <w:rPr>
          <w:lang w:val="es-MX"/>
        </w:rPr>
      </w:pPr>
      <w:r w:rsidRPr="00021E8E">
        <w:rPr>
          <w:lang w:val="es-MX"/>
        </w:rPr>
        <w:t>Por último, se evaluó la incorporación de tecnologías emergentes para mejorar los procesos internos de la entidad, implementando tecnologías como la automatización robótica de procesos, que redujo significativamente los tiempos en el trámite de homologación.</w:t>
      </w:r>
    </w:p>
    <w:p w14:paraId="315C90E6" w14:textId="77777777" w:rsidR="00021E8E" w:rsidRDefault="00021E8E" w:rsidP="00021E8E">
      <w:pPr>
        <w:jc w:val="both"/>
        <w:rPr>
          <w:lang w:val="es-MX"/>
        </w:rPr>
      </w:pPr>
    </w:p>
    <w:p w14:paraId="48E1B259" w14:textId="77777777" w:rsidR="007143D1" w:rsidRPr="007143D1" w:rsidRDefault="007143D1" w:rsidP="007143D1">
      <w:pPr>
        <w:jc w:val="both"/>
        <w:rPr>
          <w:lang w:val="es-MX"/>
        </w:rPr>
      </w:pPr>
      <w:r w:rsidRPr="007143D1">
        <w:rPr>
          <w:lang w:val="es-MX"/>
        </w:rPr>
        <w:t>Se exploraron otras posibilidades basadas en inteligencia artificial y blockchain, con el objetivo de mejorar los tiempos de respuesta, aumentar los niveles de seguridad, minimizar errores y reducir costos. Se enfatizó que la tecnología no era el objetivo final, sino un medio para ser más eficientes y prestar servicios de manera más ágil, tanto a nivel interno como externo. La mejora en los niveles de seguridad y la minimización de errores fueron preocupaciones centrales para la entidad, con el objetivo de ser más eficientes en todos los aspectos. Esta fue una actividad continua en la agenda regulatoria de la comisión de comunicaciones.</w:t>
      </w:r>
    </w:p>
    <w:p w14:paraId="1583E078" w14:textId="77777777" w:rsidR="007143D1" w:rsidRPr="007143D1" w:rsidRDefault="007143D1" w:rsidP="007143D1">
      <w:pPr>
        <w:jc w:val="both"/>
        <w:rPr>
          <w:lang w:val="es-MX"/>
        </w:rPr>
      </w:pPr>
    </w:p>
    <w:p w14:paraId="7F4710CA" w14:textId="77777777" w:rsidR="007143D1" w:rsidRPr="007143D1" w:rsidRDefault="007143D1" w:rsidP="007143D1">
      <w:pPr>
        <w:jc w:val="both"/>
        <w:rPr>
          <w:lang w:val="es-MX"/>
        </w:rPr>
      </w:pPr>
      <w:r w:rsidRPr="007143D1">
        <w:rPr>
          <w:lang w:val="es-MX"/>
        </w:rPr>
        <w:t>En cuanto a la sesión de contenidos audiovisuales en bienestar y derechos de los usuarios, se adelantó una actualización de medidas relacionadas con la participación y protección de televidentes, con énfasis en niños, niñas y adolescentes. La discusión sobre estas medidas estaba abierta y se esperaba adoptar decisiones en las próximas semanas, al finalizar el trimestre.</w:t>
      </w:r>
    </w:p>
    <w:p w14:paraId="645C143C" w14:textId="77777777" w:rsidR="007143D1" w:rsidRPr="007143D1" w:rsidRDefault="007143D1" w:rsidP="007143D1">
      <w:pPr>
        <w:jc w:val="both"/>
        <w:rPr>
          <w:lang w:val="es-MX"/>
        </w:rPr>
      </w:pPr>
    </w:p>
    <w:p w14:paraId="3B812F91" w14:textId="77777777" w:rsidR="007143D1" w:rsidRPr="007143D1" w:rsidRDefault="007143D1" w:rsidP="007143D1">
      <w:pPr>
        <w:jc w:val="both"/>
        <w:rPr>
          <w:lang w:val="es-MX"/>
        </w:rPr>
      </w:pPr>
      <w:r w:rsidRPr="007143D1">
        <w:rPr>
          <w:lang w:val="es-MX"/>
        </w:rPr>
        <w:t>En el ámbito de mediación audiovisual, se consolidaron estrategias enfocadas en campañas informativas y pedagógicas para promover la mediación parental en el consumo de contenidos por parte de niños, niñas y adolescentes. Se buscó mejorar la representación de grupos poblacionales en las pantallas, la perspectiva de género y el empoderamiento ciudadano.</w:t>
      </w:r>
    </w:p>
    <w:p w14:paraId="660AAB7C" w14:textId="77777777" w:rsidR="007143D1" w:rsidRPr="007143D1" w:rsidRDefault="007143D1" w:rsidP="007143D1">
      <w:pPr>
        <w:jc w:val="both"/>
        <w:rPr>
          <w:lang w:val="es-MX"/>
        </w:rPr>
      </w:pPr>
    </w:p>
    <w:p w14:paraId="42619DC5" w14:textId="77777777" w:rsidR="007143D1" w:rsidRPr="007143D1" w:rsidRDefault="007143D1" w:rsidP="007143D1">
      <w:pPr>
        <w:jc w:val="both"/>
        <w:rPr>
          <w:lang w:val="es-MX"/>
        </w:rPr>
      </w:pPr>
      <w:r w:rsidRPr="007143D1">
        <w:rPr>
          <w:lang w:val="es-MX"/>
        </w:rPr>
        <w:t>Además, se planificó un estudio para actualizar la información sobre audiencias infantiles y su uso de los medios, con el fin de tomar mejores decisiones regulatorias y realizar un mejor ejercicio de vigilancia y control. Dentro de la sección de contenidos audiovisuales, se desarrolló una actividad continua de pedagogía para divulgar los resultados de estudios sobre la apropiación de contenidos audiovisuales y la percepción de representación. También se diseñaron cursos y talleres audiovisuales de pluralismo a nivel regional.</w:t>
      </w:r>
    </w:p>
    <w:p w14:paraId="35EE73B8" w14:textId="77777777" w:rsidR="007143D1" w:rsidRPr="007143D1" w:rsidRDefault="007143D1" w:rsidP="007143D1">
      <w:pPr>
        <w:jc w:val="both"/>
        <w:rPr>
          <w:lang w:val="es-MX"/>
        </w:rPr>
      </w:pPr>
    </w:p>
    <w:p w14:paraId="17DA3BED" w14:textId="77777777" w:rsidR="007143D1" w:rsidRPr="007143D1" w:rsidRDefault="007143D1" w:rsidP="007143D1">
      <w:pPr>
        <w:jc w:val="both"/>
        <w:rPr>
          <w:lang w:val="es-MX"/>
        </w:rPr>
      </w:pPr>
      <w:r w:rsidRPr="007143D1">
        <w:rPr>
          <w:lang w:val="es-MX"/>
        </w:rPr>
        <w:t>Se continuó trabajando en la consolidación de un regulador convergente, reconociendo los logros alcanzados a lo largo de los años. Este esfuerzo fue resaltado por el reconocimiento internacional recibido por la SER, destacada como un regulador de quinta generación por su visión innovadora.</w:t>
      </w:r>
    </w:p>
    <w:p w14:paraId="2A39C406" w14:textId="77777777" w:rsidR="007143D1" w:rsidRPr="007143D1" w:rsidRDefault="007143D1" w:rsidP="007143D1">
      <w:pPr>
        <w:jc w:val="both"/>
        <w:rPr>
          <w:lang w:val="es-MX"/>
        </w:rPr>
      </w:pPr>
    </w:p>
    <w:p w14:paraId="0BFA5E1E" w14:textId="280CE88B" w:rsidR="003C0C36" w:rsidRDefault="007143D1" w:rsidP="007143D1">
      <w:pPr>
        <w:jc w:val="both"/>
      </w:pPr>
      <w:r w:rsidRPr="007143D1">
        <w:rPr>
          <w:lang w:val="es-MX"/>
        </w:rPr>
        <w:lastRenderedPageBreak/>
        <w:t>El director ejecutivo de la comisión concluyó su presentación agradeciendo a la Universidad Externado, reconociéndola como su casa, y expresó satisfacción por las tareas realizadas y el reconocimiento obtenido.</w:t>
      </w:r>
    </w:p>
    <w:sectPr w:rsidR="003C0C36" w:rsidSect="00793C8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B4C"/>
    <w:rsid w:val="00021E8E"/>
    <w:rsid w:val="00043B4C"/>
    <w:rsid w:val="00076E88"/>
    <w:rsid w:val="000B1E78"/>
    <w:rsid w:val="00106039"/>
    <w:rsid w:val="00127F9B"/>
    <w:rsid w:val="00184802"/>
    <w:rsid w:val="0019606A"/>
    <w:rsid w:val="001D638F"/>
    <w:rsid w:val="001E0B35"/>
    <w:rsid w:val="002237E8"/>
    <w:rsid w:val="00232135"/>
    <w:rsid w:val="002D69B6"/>
    <w:rsid w:val="0035477C"/>
    <w:rsid w:val="003567F4"/>
    <w:rsid w:val="003B4BA5"/>
    <w:rsid w:val="003C0C36"/>
    <w:rsid w:val="0041319E"/>
    <w:rsid w:val="00457838"/>
    <w:rsid w:val="00510D93"/>
    <w:rsid w:val="00530F25"/>
    <w:rsid w:val="005A5902"/>
    <w:rsid w:val="005D3C40"/>
    <w:rsid w:val="005F363D"/>
    <w:rsid w:val="00632CA1"/>
    <w:rsid w:val="00685A2D"/>
    <w:rsid w:val="0069005E"/>
    <w:rsid w:val="00695EC5"/>
    <w:rsid w:val="006B40DE"/>
    <w:rsid w:val="006F071B"/>
    <w:rsid w:val="006F58AB"/>
    <w:rsid w:val="007143D1"/>
    <w:rsid w:val="007279E3"/>
    <w:rsid w:val="00776B09"/>
    <w:rsid w:val="00793C88"/>
    <w:rsid w:val="007B3932"/>
    <w:rsid w:val="007C0346"/>
    <w:rsid w:val="007C59D6"/>
    <w:rsid w:val="007E657F"/>
    <w:rsid w:val="007F3B92"/>
    <w:rsid w:val="008D2E99"/>
    <w:rsid w:val="009008A9"/>
    <w:rsid w:val="00917D7F"/>
    <w:rsid w:val="00965962"/>
    <w:rsid w:val="009727C7"/>
    <w:rsid w:val="009E7891"/>
    <w:rsid w:val="00A117C8"/>
    <w:rsid w:val="00A16245"/>
    <w:rsid w:val="00A40D5B"/>
    <w:rsid w:val="00A42CB7"/>
    <w:rsid w:val="00A600F0"/>
    <w:rsid w:val="00A74D4E"/>
    <w:rsid w:val="00A87ECF"/>
    <w:rsid w:val="00AD00B4"/>
    <w:rsid w:val="00B168F2"/>
    <w:rsid w:val="00B1733A"/>
    <w:rsid w:val="00B24D44"/>
    <w:rsid w:val="00B34253"/>
    <w:rsid w:val="00B60E94"/>
    <w:rsid w:val="00BB3B6B"/>
    <w:rsid w:val="00BF5595"/>
    <w:rsid w:val="00C03243"/>
    <w:rsid w:val="00C12173"/>
    <w:rsid w:val="00C26111"/>
    <w:rsid w:val="00C41F1D"/>
    <w:rsid w:val="00C456F4"/>
    <w:rsid w:val="00CA4A32"/>
    <w:rsid w:val="00CA74B4"/>
    <w:rsid w:val="00D01C01"/>
    <w:rsid w:val="00D16372"/>
    <w:rsid w:val="00D81111"/>
    <w:rsid w:val="00DA4362"/>
    <w:rsid w:val="00E10CD9"/>
    <w:rsid w:val="00E759F5"/>
    <w:rsid w:val="00EC1B13"/>
    <w:rsid w:val="00F672D2"/>
    <w:rsid w:val="00F81AFD"/>
    <w:rsid w:val="00F95C09"/>
    <w:rsid w:val="00FA0B8F"/>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3E3B442"/>
  <w14:defaultImageDpi w14:val="32767"/>
  <w15:chartTrackingRefBased/>
  <w15:docId w15:val="{A9804789-8E85-9C42-A4B9-C8BB73DD9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26111"/>
    <w:rPr>
      <w:lang w:val="es-ES"/>
    </w:rPr>
  </w:style>
  <w:style w:type="paragraph" w:styleId="Ttulo1">
    <w:name w:val="heading 1"/>
    <w:basedOn w:val="Normal"/>
    <w:next w:val="Normal"/>
    <w:link w:val="Ttulo1Car"/>
    <w:uiPriority w:val="9"/>
    <w:qFormat/>
    <w:rsid w:val="00043B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43B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43B4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43B4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43B4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43B4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43B4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43B4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43B4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43B4C"/>
    <w:rPr>
      <w:rFonts w:asciiTheme="majorHAnsi" w:eastAsiaTheme="majorEastAsia" w:hAnsiTheme="majorHAnsi" w:cstheme="majorBidi"/>
      <w:color w:val="0F4761" w:themeColor="accent1" w:themeShade="BF"/>
      <w:sz w:val="40"/>
      <w:szCs w:val="40"/>
      <w:lang w:val="es-ES"/>
    </w:rPr>
  </w:style>
  <w:style w:type="character" w:customStyle="1" w:styleId="Ttulo2Car">
    <w:name w:val="Título 2 Car"/>
    <w:basedOn w:val="Fuentedeprrafopredeter"/>
    <w:link w:val="Ttulo2"/>
    <w:uiPriority w:val="9"/>
    <w:semiHidden/>
    <w:rsid w:val="00043B4C"/>
    <w:rPr>
      <w:rFonts w:asciiTheme="majorHAnsi" w:eastAsiaTheme="majorEastAsia" w:hAnsiTheme="majorHAnsi" w:cstheme="majorBidi"/>
      <w:color w:val="0F4761" w:themeColor="accent1" w:themeShade="BF"/>
      <w:sz w:val="32"/>
      <w:szCs w:val="32"/>
      <w:lang w:val="es-ES"/>
    </w:rPr>
  </w:style>
  <w:style w:type="character" w:customStyle="1" w:styleId="Ttulo3Car">
    <w:name w:val="Título 3 Car"/>
    <w:basedOn w:val="Fuentedeprrafopredeter"/>
    <w:link w:val="Ttulo3"/>
    <w:uiPriority w:val="9"/>
    <w:semiHidden/>
    <w:rsid w:val="00043B4C"/>
    <w:rPr>
      <w:rFonts w:eastAsiaTheme="majorEastAsia" w:cstheme="majorBidi"/>
      <w:color w:val="0F4761" w:themeColor="accent1" w:themeShade="BF"/>
      <w:sz w:val="28"/>
      <w:szCs w:val="28"/>
      <w:lang w:val="es-ES"/>
    </w:rPr>
  </w:style>
  <w:style w:type="character" w:customStyle="1" w:styleId="Ttulo4Car">
    <w:name w:val="Título 4 Car"/>
    <w:basedOn w:val="Fuentedeprrafopredeter"/>
    <w:link w:val="Ttulo4"/>
    <w:uiPriority w:val="9"/>
    <w:semiHidden/>
    <w:rsid w:val="00043B4C"/>
    <w:rPr>
      <w:rFonts w:eastAsiaTheme="majorEastAsia" w:cstheme="majorBidi"/>
      <w:i/>
      <w:iCs/>
      <w:color w:val="0F4761" w:themeColor="accent1" w:themeShade="BF"/>
      <w:lang w:val="es-ES"/>
    </w:rPr>
  </w:style>
  <w:style w:type="character" w:customStyle="1" w:styleId="Ttulo5Car">
    <w:name w:val="Título 5 Car"/>
    <w:basedOn w:val="Fuentedeprrafopredeter"/>
    <w:link w:val="Ttulo5"/>
    <w:uiPriority w:val="9"/>
    <w:semiHidden/>
    <w:rsid w:val="00043B4C"/>
    <w:rPr>
      <w:rFonts w:eastAsiaTheme="majorEastAsia" w:cstheme="majorBidi"/>
      <w:color w:val="0F4761" w:themeColor="accent1" w:themeShade="BF"/>
      <w:lang w:val="es-ES"/>
    </w:rPr>
  </w:style>
  <w:style w:type="character" w:customStyle="1" w:styleId="Ttulo6Car">
    <w:name w:val="Título 6 Car"/>
    <w:basedOn w:val="Fuentedeprrafopredeter"/>
    <w:link w:val="Ttulo6"/>
    <w:uiPriority w:val="9"/>
    <w:semiHidden/>
    <w:rsid w:val="00043B4C"/>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043B4C"/>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043B4C"/>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043B4C"/>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043B4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43B4C"/>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043B4C"/>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43B4C"/>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043B4C"/>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43B4C"/>
    <w:rPr>
      <w:i/>
      <w:iCs/>
      <w:color w:val="404040" w:themeColor="text1" w:themeTint="BF"/>
      <w:lang w:val="es-ES"/>
    </w:rPr>
  </w:style>
  <w:style w:type="paragraph" w:styleId="Prrafodelista">
    <w:name w:val="List Paragraph"/>
    <w:basedOn w:val="Normal"/>
    <w:uiPriority w:val="34"/>
    <w:qFormat/>
    <w:rsid w:val="00043B4C"/>
    <w:pPr>
      <w:ind w:left="720"/>
      <w:contextualSpacing/>
    </w:pPr>
  </w:style>
  <w:style w:type="character" w:styleId="nfasisintenso">
    <w:name w:val="Intense Emphasis"/>
    <w:basedOn w:val="Fuentedeprrafopredeter"/>
    <w:uiPriority w:val="21"/>
    <w:qFormat/>
    <w:rsid w:val="00043B4C"/>
    <w:rPr>
      <w:i/>
      <w:iCs/>
      <w:color w:val="0F4761" w:themeColor="accent1" w:themeShade="BF"/>
    </w:rPr>
  </w:style>
  <w:style w:type="paragraph" w:styleId="Citadestacada">
    <w:name w:val="Intense Quote"/>
    <w:basedOn w:val="Normal"/>
    <w:next w:val="Normal"/>
    <w:link w:val="CitadestacadaCar"/>
    <w:uiPriority w:val="30"/>
    <w:qFormat/>
    <w:rsid w:val="00043B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43B4C"/>
    <w:rPr>
      <w:i/>
      <w:iCs/>
      <w:color w:val="0F4761" w:themeColor="accent1" w:themeShade="BF"/>
      <w:lang w:val="es-ES"/>
    </w:rPr>
  </w:style>
  <w:style w:type="character" w:styleId="Referenciaintensa">
    <w:name w:val="Intense Reference"/>
    <w:basedOn w:val="Fuentedeprrafopredeter"/>
    <w:uiPriority w:val="32"/>
    <w:qFormat/>
    <w:rsid w:val="00043B4C"/>
    <w:rPr>
      <w:b/>
      <w:bCs/>
      <w:smallCaps/>
      <w:color w:val="0F4761" w:themeColor="accent1" w:themeShade="BF"/>
      <w:spacing w:val="5"/>
    </w:rPr>
  </w:style>
  <w:style w:type="paragraph" w:styleId="Textoindependiente">
    <w:name w:val="Body Text"/>
    <w:basedOn w:val="Normal"/>
    <w:link w:val="TextoindependienteCar"/>
    <w:uiPriority w:val="1"/>
    <w:qFormat/>
    <w:rsid w:val="00C26111"/>
    <w:pPr>
      <w:widowControl w:val="0"/>
      <w:autoSpaceDE w:val="0"/>
      <w:autoSpaceDN w:val="0"/>
    </w:pPr>
    <w:rPr>
      <w:rFonts w:ascii="Arial MT" w:eastAsia="Arial MT" w:hAnsi="Arial MT" w:cs="Arial MT"/>
      <w:kern w:val="0"/>
      <w14:ligatures w14:val="none"/>
    </w:rPr>
  </w:style>
  <w:style w:type="character" w:customStyle="1" w:styleId="TextoindependienteCar">
    <w:name w:val="Texto independiente Car"/>
    <w:basedOn w:val="Fuentedeprrafopredeter"/>
    <w:link w:val="Textoindependiente"/>
    <w:uiPriority w:val="1"/>
    <w:rsid w:val="00C26111"/>
    <w:rPr>
      <w:rFonts w:ascii="Arial MT" w:eastAsia="Arial MT" w:hAnsi="Arial MT" w:cs="Arial MT"/>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808643">
      <w:bodyDiv w:val="1"/>
      <w:marLeft w:val="0"/>
      <w:marRight w:val="0"/>
      <w:marTop w:val="0"/>
      <w:marBottom w:val="0"/>
      <w:divBdr>
        <w:top w:val="none" w:sz="0" w:space="0" w:color="auto"/>
        <w:left w:val="none" w:sz="0" w:space="0" w:color="auto"/>
        <w:bottom w:val="none" w:sz="0" w:space="0" w:color="auto"/>
        <w:right w:val="none" w:sz="0" w:space="0" w:color="auto"/>
      </w:divBdr>
    </w:div>
    <w:div w:id="829177945">
      <w:bodyDiv w:val="1"/>
      <w:marLeft w:val="0"/>
      <w:marRight w:val="0"/>
      <w:marTop w:val="0"/>
      <w:marBottom w:val="0"/>
      <w:divBdr>
        <w:top w:val="none" w:sz="0" w:space="0" w:color="auto"/>
        <w:left w:val="none" w:sz="0" w:space="0" w:color="auto"/>
        <w:bottom w:val="none" w:sz="0" w:space="0" w:color="auto"/>
        <w:right w:val="none" w:sz="0" w:space="0" w:color="auto"/>
      </w:divBdr>
    </w:div>
    <w:div w:id="1132603118">
      <w:bodyDiv w:val="1"/>
      <w:marLeft w:val="0"/>
      <w:marRight w:val="0"/>
      <w:marTop w:val="0"/>
      <w:marBottom w:val="0"/>
      <w:divBdr>
        <w:top w:val="none" w:sz="0" w:space="0" w:color="auto"/>
        <w:left w:val="none" w:sz="0" w:space="0" w:color="auto"/>
        <w:bottom w:val="none" w:sz="0" w:space="0" w:color="auto"/>
        <w:right w:val="none" w:sz="0" w:space="0" w:color="auto"/>
      </w:divBdr>
    </w:div>
    <w:div w:id="1307205097">
      <w:bodyDiv w:val="1"/>
      <w:marLeft w:val="0"/>
      <w:marRight w:val="0"/>
      <w:marTop w:val="0"/>
      <w:marBottom w:val="0"/>
      <w:divBdr>
        <w:top w:val="none" w:sz="0" w:space="0" w:color="auto"/>
        <w:left w:val="none" w:sz="0" w:space="0" w:color="auto"/>
        <w:bottom w:val="none" w:sz="0" w:space="0" w:color="auto"/>
        <w:right w:val="none" w:sz="0" w:space="0" w:color="auto"/>
      </w:divBdr>
    </w:div>
    <w:div w:id="1996489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esdercom@uexternado.edu.co"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11</Pages>
  <Words>3660</Words>
  <Characters>20134</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Leidy Carolina Porras Diaz</dc:creator>
  <cp:keywords/>
  <dc:description/>
  <cp:lastModifiedBy>Leidy Carolina Porras Diaz</cp:lastModifiedBy>
  <cp:revision>18</cp:revision>
  <dcterms:created xsi:type="dcterms:W3CDTF">2024-06-09T15:12:00Z</dcterms:created>
  <dcterms:modified xsi:type="dcterms:W3CDTF">2024-06-18T21:38:00Z</dcterms:modified>
</cp:coreProperties>
</file>