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20ABB" w14:textId="07652391" w:rsidR="00A622CB" w:rsidRPr="005E214E" w:rsidRDefault="00E20170" w:rsidP="00964BBC">
      <w:pPr>
        <w:shd w:val="clear" w:color="auto" w:fill="BFBFBF"/>
        <w:jc w:val="center"/>
        <w:rPr>
          <w:rFonts w:asciiTheme="majorHAnsi" w:hAnsiTheme="majorHAnsi" w:cs="Arial"/>
          <w:b/>
        </w:rPr>
      </w:pPr>
      <w:r w:rsidRPr="005E214E">
        <w:rPr>
          <w:rFonts w:asciiTheme="majorHAnsi" w:hAnsiTheme="majorHAnsi" w:cs="Arial"/>
          <w:b/>
        </w:rPr>
        <w:t xml:space="preserve">1. </w:t>
      </w:r>
      <w:r w:rsidR="00A622CB" w:rsidRPr="005E214E">
        <w:rPr>
          <w:rFonts w:asciiTheme="majorHAnsi" w:hAnsiTheme="majorHAnsi" w:cs="Arial"/>
          <w:b/>
        </w:rPr>
        <w:t xml:space="preserve">INFORMACIÓN GENERAL </w:t>
      </w:r>
    </w:p>
    <w:p w14:paraId="4D496554" w14:textId="77777777" w:rsidR="00E20170" w:rsidRPr="005E214E" w:rsidRDefault="00E20170" w:rsidP="00876BD3">
      <w:pPr>
        <w:rPr>
          <w:rFonts w:asciiTheme="majorHAnsi" w:hAnsiTheme="majorHAnsi" w:cs="Arial"/>
          <w:b/>
        </w:rPr>
      </w:pP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6"/>
        <w:gridCol w:w="5670"/>
      </w:tblGrid>
      <w:tr w:rsidR="00871A0C" w:rsidRPr="000370D2" w14:paraId="7C1D74D4" w14:textId="77777777" w:rsidTr="7C5C0DC8">
        <w:tc>
          <w:tcPr>
            <w:tcW w:w="3686" w:type="dxa"/>
          </w:tcPr>
          <w:p w14:paraId="71F5DF91" w14:textId="77777777" w:rsidR="00E20170" w:rsidRPr="000370D2" w:rsidRDefault="00E20170" w:rsidP="00123763">
            <w:pPr>
              <w:rPr>
                <w:rStyle w:val="Hipervnculo"/>
                <w:rFonts w:asciiTheme="majorHAnsi" w:hAnsiTheme="majorHAnsi" w:cs="Arial"/>
                <w:b/>
                <w:color w:val="auto"/>
                <w:u w:val="none"/>
              </w:rPr>
            </w:pPr>
            <w:r w:rsidRPr="000370D2">
              <w:rPr>
                <w:rStyle w:val="Hipervnculo"/>
                <w:rFonts w:asciiTheme="majorHAnsi" w:hAnsiTheme="majorHAnsi" w:cs="Arial"/>
                <w:b/>
                <w:color w:val="auto"/>
                <w:u w:val="none"/>
              </w:rPr>
              <w:t>PROGRAMA</w:t>
            </w:r>
          </w:p>
        </w:tc>
        <w:tc>
          <w:tcPr>
            <w:tcW w:w="5670" w:type="dxa"/>
          </w:tcPr>
          <w:p w14:paraId="008EAA07" w14:textId="4400EC96" w:rsidR="00E20170" w:rsidRPr="000370D2" w:rsidRDefault="00D717FC" w:rsidP="00123763">
            <w:pPr>
              <w:rPr>
                <w:rStyle w:val="Hipervnculo"/>
                <w:rFonts w:asciiTheme="majorHAnsi" w:hAnsiTheme="majorHAnsi" w:cs="Arial"/>
                <w:color w:val="auto"/>
                <w:u w:val="none"/>
              </w:rPr>
            </w:pPr>
            <w:r w:rsidRPr="000370D2">
              <w:rPr>
                <w:rStyle w:val="Hipervnculo"/>
                <w:rFonts w:asciiTheme="majorHAnsi" w:hAnsiTheme="majorHAnsi" w:cs="Arial"/>
                <w:color w:val="auto"/>
                <w:u w:val="none"/>
              </w:rPr>
              <w:t>Derecho</w:t>
            </w:r>
          </w:p>
        </w:tc>
      </w:tr>
      <w:tr w:rsidR="00871A0C" w:rsidRPr="000370D2" w14:paraId="73B73618" w14:textId="77777777" w:rsidTr="7C5C0DC8">
        <w:tc>
          <w:tcPr>
            <w:tcW w:w="3686" w:type="dxa"/>
          </w:tcPr>
          <w:p w14:paraId="1117E241" w14:textId="771F8394" w:rsidR="00E20170" w:rsidRPr="000370D2" w:rsidRDefault="00132969" w:rsidP="00123763">
            <w:pPr>
              <w:rPr>
                <w:rStyle w:val="Hipervnculo"/>
                <w:rFonts w:asciiTheme="majorHAnsi" w:hAnsiTheme="majorHAnsi" w:cs="Arial"/>
                <w:b/>
                <w:color w:val="auto"/>
                <w:u w:val="none"/>
              </w:rPr>
            </w:pPr>
            <w:r w:rsidRPr="000370D2">
              <w:rPr>
                <w:rStyle w:val="Hipervnculo"/>
                <w:rFonts w:asciiTheme="majorHAnsi" w:hAnsiTheme="majorHAnsi" w:cs="Arial"/>
                <w:b/>
                <w:color w:val="auto"/>
                <w:u w:val="none"/>
              </w:rPr>
              <w:t>ÁREA</w:t>
            </w:r>
          </w:p>
        </w:tc>
        <w:tc>
          <w:tcPr>
            <w:tcW w:w="5670" w:type="dxa"/>
          </w:tcPr>
          <w:p w14:paraId="5C4F9295" w14:textId="75763BFA" w:rsidR="00E20170" w:rsidRPr="000370D2" w:rsidRDefault="00D717FC" w:rsidP="002A3134">
            <w:pPr>
              <w:rPr>
                <w:rStyle w:val="Hipervnculo"/>
                <w:rFonts w:asciiTheme="majorHAnsi" w:hAnsiTheme="majorHAnsi" w:cs="Arial"/>
                <w:color w:val="auto"/>
                <w:u w:val="none"/>
              </w:rPr>
            </w:pPr>
            <w:r w:rsidRPr="000370D2">
              <w:rPr>
                <w:rStyle w:val="Hipervnculo"/>
                <w:rFonts w:asciiTheme="majorHAnsi" w:hAnsiTheme="majorHAnsi" w:cs="Arial"/>
                <w:color w:val="auto"/>
                <w:u w:val="none"/>
              </w:rPr>
              <w:t>Derecho Penal</w:t>
            </w:r>
            <w:r w:rsidR="000B23AD">
              <w:rPr>
                <w:rStyle w:val="Hipervnculo"/>
                <w:rFonts w:asciiTheme="majorHAnsi" w:hAnsiTheme="majorHAnsi" w:cs="Arial"/>
                <w:color w:val="auto"/>
                <w:u w:val="none"/>
              </w:rPr>
              <w:t xml:space="preserve"> y Criminología </w:t>
            </w:r>
          </w:p>
        </w:tc>
      </w:tr>
      <w:tr w:rsidR="00871A0C" w:rsidRPr="000370D2" w14:paraId="2B721E3F" w14:textId="77777777" w:rsidTr="7C5C0DC8">
        <w:trPr>
          <w:trHeight w:val="287"/>
        </w:trPr>
        <w:tc>
          <w:tcPr>
            <w:tcW w:w="3686" w:type="dxa"/>
          </w:tcPr>
          <w:p w14:paraId="56A319FF" w14:textId="35F72878" w:rsidR="00E20170" w:rsidRPr="000370D2" w:rsidRDefault="00132969" w:rsidP="00123763">
            <w:pPr>
              <w:rPr>
                <w:rStyle w:val="Hipervnculo"/>
                <w:rFonts w:asciiTheme="majorHAnsi" w:hAnsiTheme="majorHAnsi" w:cs="Arial"/>
                <w:b/>
                <w:color w:val="auto"/>
                <w:u w:val="none"/>
              </w:rPr>
            </w:pPr>
            <w:r w:rsidRPr="000370D2">
              <w:rPr>
                <w:rStyle w:val="Hipervnculo"/>
                <w:rFonts w:asciiTheme="majorHAnsi" w:hAnsiTheme="majorHAnsi" w:cs="Arial"/>
                <w:b/>
                <w:color w:val="auto"/>
                <w:u w:val="none"/>
              </w:rPr>
              <w:t>ASIGNATURA</w:t>
            </w:r>
          </w:p>
        </w:tc>
        <w:tc>
          <w:tcPr>
            <w:tcW w:w="5670" w:type="dxa"/>
          </w:tcPr>
          <w:p w14:paraId="4A293F67" w14:textId="49D7948F" w:rsidR="00E20170" w:rsidRPr="000370D2" w:rsidRDefault="00D717FC" w:rsidP="00123763">
            <w:pPr>
              <w:rPr>
                <w:rStyle w:val="Hipervnculo"/>
                <w:rFonts w:asciiTheme="majorHAnsi" w:hAnsiTheme="majorHAnsi" w:cs="Arial"/>
                <w:color w:val="auto"/>
                <w:u w:val="none"/>
              </w:rPr>
            </w:pPr>
            <w:r w:rsidRPr="000370D2">
              <w:rPr>
                <w:rStyle w:val="Hipervnculo"/>
                <w:rFonts w:asciiTheme="majorHAnsi" w:hAnsiTheme="majorHAnsi" w:cs="Arial"/>
                <w:color w:val="auto"/>
                <w:u w:val="none"/>
              </w:rPr>
              <w:t>Derecho Procesal Penal</w:t>
            </w:r>
          </w:p>
        </w:tc>
      </w:tr>
      <w:tr w:rsidR="00871A0C" w:rsidRPr="000370D2" w14:paraId="0BA312FA" w14:textId="77777777" w:rsidTr="7C5C0DC8">
        <w:tc>
          <w:tcPr>
            <w:tcW w:w="3686" w:type="dxa"/>
          </w:tcPr>
          <w:p w14:paraId="53FF29D5" w14:textId="2F781E7F" w:rsidR="00E20170" w:rsidRPr="000370D2" w:rsidRDefault="000B23AD" w:rsidP="00123763">
            <w:pPr>
              <w:rPr>
                <w:rStyle w:val="Hipervnculo"/>
                <w:rFonts w:asciiTheme="majorHAnsi" w:hAnsiTheme="majorHAnsi" w:cs="Arial"/>
                <w:b/>
                <w:color w:val="auto"/>
                <w:u w:val="none"/>
              </w:rPr>
            </w:pPr>
            <w:r>
              <w:rPr>
                <w:rStyle w:val="Hipervnculo"/>
                <w:rFonts w:asciiTheme="majorHAnsi" w:hAnsiTheme="majorHAnsi" w:cs="Arial"/>
                <w:b/>
                <w:color w:val="auto"/>
                <w:u w:val="none"/>
              </w:rPr>
              <w:t>CRÉDITOS</w:t>
            </w:r>
            <w:r w:rsidR="00386C4D">
              <w:rPr>
                <w:rStyle w:val="Hipervnculo"/>
                <w:rFonts w:asciiTheme="majorHAnsi" w:hAnsiTheme="majorHAnsi" w:cs="Arial"/>
                <w:b/>
                <w:color w:val="auto"/>
                <w:u w:val="none"/>
              </w:rPr>
              <w:t xml:space="preserve"> </w:t>
            </w:r>
          </w:p>
        </w:tc>
        <w:tc>
          <w:tcPr>
            <w:tcW w:w="5670" w:type="dxa"/>
          </w:tcPr>
          <w:p w14:paraId="7EF4AD23" w14:textId="408FA464" w:rsidR="00E20170" w:rsidRPr="000370D2" w:rsidRDefault="000B23AD" w:rsidP="00123763">
            <w:pPr>
              <w:rPr>
                <w:rStyle w:val="Hipervnculo"/>
                <w:rFonts w:asciiTheme="majorHAnsi" w:hAnsiTheme="majorHAnsi" w:cs="Arial"/>
                <w:color w:val="auto"/>
                <w:u w:val="none"/>
              </w:rPr>
            </w:pPr>
            <w:r>
              <w:rPr>
                <w:rStyle w:val="Hipervnculo"/>
                <w:rFonts w:asciiTheme="majorHAnsi" w:hAnsiTheme="majorHAnsi" w:cs="Arial"/>
                <w:color w:val="auto"/>
                <w:u w:val="none"/>
              </w:rPr>
              <w:t>N/A</w:t>
            </w:r>
          </w:p>
        </w:tc>
      </w:tr>
      <w:tr w:rsidR="000B23AD" w:rsidRPr="000370D2" w14:paraId="6AE7A812" w14:textId="77777777" w:rsidTr="7C5C0DC8">
        <w:tc>
          <w:tcPr>
            <w:tcW w:w="3686" w:type="dxa"/>
          </w:tcPr>
          <w:p w14:paraId="0291D238" w14:textId="6887C737" w:rsidR="000B23AD" w:rsidRDefault="000B23AD" w:rsidP="00123763">
            <w:pPr>
              <w:rPr>
                <w:rStyle w:val="Hipervnculo"/>
                <w:rFonts w:asciiTheme="majorHAnsi" w:hAnsiTheme="majorHAnsi" w:cs="Arial"/>
                <w:b/>
                <w:color w:val="auto"/>
                <w:u w:val="none"/>
              </w:rPr>
            </w:pPr>
            <w:r>
              <w:rPr>
                <w:rStyle w:val="Hipervnculo"/>
                <w:rFonts w:asciiTheme="majorHAnsi" w:hAnsiTheme="majorHAnsi" w:cs="Arial"/>
                <w:b/>
                <w:color w:val="auto"/>
                <w:u w:val="none"/>
              </w:rPr>
              <w:t>SEMESTRE</w:t>
            </w:r>
          </w:p>
        </w:tc>
        <w:tc>
          <w:tcPr>
            <w:tcW w:w="5670" w:type="dxa"/>
          </w:tcPr>
          <w:p w14:paraId="2F3A4EA4" w14:textId="61A25F9A" w:rsidR="000B23AD" w:rsidRDefault="000B23AD" w:rsidP="00123763">
            <w:pPr>
              <w:rPr>
                <w:rStyle w:val="Hipervnculo"/>
                <w:rFonts w:asciiTheme="majorHAnsi" w:hAnsiTheme="majorHAnsi" w:cs="Arial"/>
                <w:color w:val="auto"/>
                <w:u w:val="none"/>
              </w:rPr>
            </w:pPr>
            <w:r>
              <w:rPr>
                <w:rStyle w:val="Hipervnculo"/>
                <w:rFonts w:asciiTheme="majorHAnsi" w:hAnsiTheme="majorHAnsi" w:cs="Arial"/>
                <w:color w:val="auto"/>
                <w:u w:val="none"/>
              </w:rPr>
              <w:t>2</w:t>
            </w:r>
          </w:p>
        </w:tc>
      </w:tr>
      <w:tr w:rsidR="000B23AD" w:rsidRPr="000370D2" w14:paraId="403D547F" w14:textId="77777777" w:rsidTr="7C5C0DC8">
        <w:tc>
          <w:tcPr>
            <w:tcW w:w="3686" w:type="dxa"/>
          </w:tcPr>
          <w:p w14:paraId="1D33471E" w14:textId="1F3E47AF" w:rsidR="000B23AD" w:rsidRDefault="000B23AD" w:rsidP="00123763">
            <w:pPr>
              <w:rPr>
                <w:rStyle w:val="Hipervnculo"/>
                <w:rFonts w:asciiTheme="majorHAnsi" w:hAnsiTheme="majorHAnsi" w:cs="Arial"/>
                <w:b/>
                <w:color w:val="auto"/>
                <w:u w:val="none"/>
              </w:rPr>
            </w:pPr>
            <w:r>
              <w:rPr>
                <w:rStyle w:val="Hipervnculo"/>
                <w:rFonts w:asciiTheme="majorHAnsi" w:hAnsiTheme="majorHAnsi" w:cs="Arial"/>
                <w:b/>
                <w:color w:val="auto"/>
                <w:u w:val="none"/>
              </w:rPr>
              <w:t>HORAS DE TRABAJO DIRECTO</w:t>
            </w:r>
          </w:p>
        </w:tc>
        <w:tc>
          <w:tcPr>
            <w:tcW w:w="5670" w:type="dxa"/>
          </w:tcPr>
          <w:p w14:paraId="533C029E" w14:textId="282A9766" w:rsidR="000B23AD" w:rsidRDefault="000B23AD" w:rsidP="00123763">
            <w:pPr>
              <w:rPr>
                <w:rStyle w:val="Hipervnculo"/>
                <w:rFonts w:asciiTheme="majorHAnsi" w:hAnsiTheme="majorHAnsi" w:cs="Arial"/>
                <w:color w:val="auto"/>
                <w:u w:val="none"/>
              </w:rPr>
            </w:pPr>
            <w:r>
              <w:rPr>
                <w:rStyle w:val="Hipervnculo"/>
                <w:rFonts w:asciiTheme="majorHAnsi" w:hAnsiTheme="majorHAnsi" w:cs="Arial"/>
                <w:color w:val="auto"/>
                <w:u w:val="none"/>
              </w:rPr>
              <w:t>3 horas</w:t>
            </w:r>
          </w:p>
        </w:tc>
      </w:tr>
      <w:tr w:rsidR="00D717FC" w:rsidRPr="000370D2" w14:paraId="722A0F3E" w14:textId="77777777" w:rsidTr="7C5C0DC8">
        <w:tc>
          <w:tcPr>
            <w:tcW w:w="3686" w:type="dxa"/>
          </w:tcPr>
          <w:p w14:paraId="123203E7" w14:textId="0BC81072" w:rsidR="00D717FC" w:rsidRDefault="000B23AD" w:rsidP="00123763">
            <w:pPr>
              <w:rPr>
                <w:rStyle w:val="Hipervnculo"/>
                <w:rFonts w:asciiTheme="majorHAnsi" w:hAnsiTheme="majorHAnsi" w:cs="Arial"/>
                <w:b/>
                <w:color w:val="auto"/>
                <w:u w:val="none"/>
              </w:rPr>
            </w:pPr>
            <w:r>
              <w:rPr>
                <w:rStyle w:val="Hipervnculo"/>
                <w:rFonts w:asciiTheme="majorHAnsi" w:hAnsiTheme="majorHAnsi" w:cs="Arial"/>
                <w:b/>
                <w:color w:val="auto"/>
                <w:u w:val="none"/>
              </w:rPr>
              <w:t>HORAS DE TRABAJO AUTÓNOMO</w:t>
            </w:r>
            <w:r w:rsidR="00D717FC">
              <w:rPr>
                <w:rStyle w:val="Hipervnculo"/>
                <w:rFonts w:asciiTheme="majorHAnsi" w:hAnsiTheme="majorHAnsi" w:cs="Arial"/>
                <w:b/>
                <w:color w:val="auto"/>
                <w:u w:val="none"/>
              </w:rPr>
              <w:t xml:space="preserve"> </w:t>
            </w:r>
          </w:p>
        </w:tc>
        <w:tc>
          <w:tcPr>
            <w:tcW w:w="5670" w:type="dxa"/>
          </w:tcPr>
          <w:p w14:paraId="23CC5D75" w14:textId="03446913" w:rsidR="00D717FC" w:rsidRDefault="000B23AD" w:rsidP="00123763">
            <w:pPr>
              <w:rPr>
                <w:rStyle w:val="Hipervnculo"/>
                <w:rFonts w:asciiTheme="majorHAnsi" w:hAnsiTheme="majorHAnsi" w:cs="Arial"/>
                <w:color w:val="auto"/>
                <w:u w:val="none"/>
              </w:rPr>
            </w:pPr>
            <w:r>
              <w:rPr>
                <w:rStyle w:val="Hipervnculo"/>
                <w:rFonts w:asciiTheme="majorHAnsi" w:hAnsiTheme="majorHAnsi" w:cs="Arial"/>
                <w:color w:val="auto"/>
                <w:u w:val="none"/>
              </w:rPr>
              <w:t>3 horas</w:t>
            </w:r>
          </w:p>
        </w:tc>
      </w:tr>
      <w:tr w:rsidR="00100199" w:rsidRPr="000370D2" w14:paraId="036EA257" w14:textId="77777777" w:rsidTr="7C5C0DC8">
        <w:tc>
          <w:tcPr>
            <w:tcW w:w="3686" w:type="dxa"/>
          </w:tcPr>
          <w:p w14:paraId="27C2FE9C" w14:textId="4060E354" w:rsidR="00100199" w:rsidRDefault="00100199" w:rsidP="00123763">
            <w:pPr>
              <w:rPr>
                <w:rStyle w:val="Hipervnculo"/>
                <w:rFonts w:asciiTheme="majorHAnsi" w:hAnsiTheme="majorHAnsi" w:cs="Arial"/>
                <w:b/>
                <w:color w:val="auto"/>
                <w:u w:val="none"/>
              </w:rPr>
            </w:pPr>
            <w:r>
              <w:rPr>
                <w:rStyle w:val="Hipervnculo"/>
                <w:rFonts w:asciiTheme="majorHAnsi" w:hAnsiTheme="majorHAnsi" w:cs="Arial"/>
                <w:b/>
                <w:color w:val="auto"/>
                <w:u w:val="none"/>
              </w:rPr>
              <w:t>PROFESOR</w:t>
            </w:r>
          </w:p>
        </w:tc>
        <w:tc>
          <w:tcPr>
            <w:tcW w:w="5670" w:type="dxa"/>
          </w:tcPr>
          <w:p w14:paraId="7EAE653C" w14:textId="255BE003" w:rsidR="00100199" w:rsidRDefault="00100199" w:rsidP="00123763">
            <w:pPr>
              <w:rPr>
                <w:rStyle w:val="Hipervnculo"/>
                <w:rFonts w:asciiTheme="majorHAnsi" w:hAnsiTheme="majorHAnsi" w:cs="Arial"/>
                <w:color w:val="auto"/>
                <w:u w:val="none"/>
              </w:rPr>
            </w:pPr>
            <w:r>
              <w:rPr>
                <w:rStyle w:val="Hipervnculo"/>
                <w:rFonts w:asciiTheme="majorHAnsi" w:hAnsiTheme="majorHAnsi" w:cs="Arial"/>
                <w:color w:val="auto"/>
                <w:u w:val="none"/>
              </w:rPr>
              <w:t xml:space="preserve">Darío </w:t>
            </w:r>
            <w:proofErr w:type="spellStart"/>
            <w:r>
              <w:rPr>
                <w:rStyle w:val="Hipervnculo"/>
                <w:rFonts w:asciiTheme="majorHAnsi" w:hAnsiTheme="majorHAnsi" w:cs="Arial"/>
                <w:color w:val="auto"/>
                <w:u w:val="none"/>
              </w:rPr>
              <w:t>Bazzani</w:t>
            </w:r>
            <w:proofErr w:type="spellEnd"/>
            <w:r>
              <w:rPr>
                <w:rStyle w:val="Hipervnculo"/>
                <w:rFonts w:asciiTheme="majorHAnsi" w:hAnsiTheme="majorHAnsi" w:cs="Arial"/>
                <w:color w:val="auto"/>
                <w:u w:val="none"/>
              </w:rPr>
              <w:t xml:space="preserve">, Alexander Andrade, Luisa Caldas, Leonardo Cruz, Vicente Gaviria, Oscar Guerrero [según grupo]. </w:t>
            </w:r>
          </w:p>
        </w:tc>
      </w:tr>
      <w:tr w:rsidR="000B23AD" w:rsidRPr="000370D2" w14:paraId="1265C46A" w14:textId="77777777" w:rsidTr="7C5C0DC8">
        <w:tc>
          <w:tcPr>
            <w:tcW w:w="3686" w:type="dxa"/>
          </w:tcPr>
          <w:p w14:paraId="7FBEF533" w14:textId="5E0FB893" w:rsidR="000B23AD" w:rsidRDefault="000B23AD" w:rsidP="00123763">
            <w:pPr>
              <w:rPr>
                <w:rStyle w:val="Hipervnculo"/>
                <w:rFonts w:asciiTheme="majorHAnsi" w:hAnsiTheme="majorHAnsi" w:cs="Arial"/>
                <w:b/>
                <w:color w:val="auto"/>
                <w:u w:val="none"/>
              </w:rPr>
            </w:pPr>
            <w:r>
              <w:rPr>
                <w:rStyle w:val="Hipervnculo"/>
                <w:rFonts w:asciiTheme="majorHAnsi" w:hAnsiTheme="majorHAnsi" w:cs="Arial"/>
                <w:b/>
                <w:color w:val="auto"/>
                <w:u w:val="none"/>
              </w:rPr>
              <w:t>CORREO</w:t>
            </w:r>
          </w:p>
        </w:tc>
        <w:tc>
          <w:tcPr>
            <w:tcW w:w="5670" w:type="dxa"/>
          </w:tcPr>
          <w:p w14:paraId="5BD1959E" w14:textId="20BB4B80" w:rsidR="000B23AD" w:rsidRDefault="000B23AD" w:rsidP="00123763">
            <w:pPr>
              <w:rPr>
                <w:rStyle w:val="Hipervnculo"/>
                <w:rFonts w:asciiTheme="majorHAnsi" w:hAnsiTheme="majorHAnsi" w:cs="Arial"/>
                <w:color w:val="auto"/>
                <w:u w:val="none"/>
              </w:rPr>
            </w:pPr>
            <w:r>
              <w:rPr>
                <w:rStyle w:val="Hipervnculo"/>
                <w:rFonts w:asciiTheme="majorHAnsi" w:hAnsiTheme="majorHAnsi" w:cs="Arial"/>
                <w:color w:val="auto"/>
                <w:u w:val="none"/>
              </w:rPr>
              <w:t>N/A</w:t>
            </w:r>
          </w:p>
        </w:tc>
      </w:tr>
    </w:tbl>
    <w:p w14:paraId="17FFC15E" w14:textId="08E064DA" w:rsidR="7C5C0DC8" w:rsidRPr="005E214E" w:rsidRDefault="7C5C0DC8" w:rsidP="7C5C0DC8">
      <w:pPr>
        <w:rPr>
          <w:b/>
          <w:bCs/>
        </w:rPr>
      </w:pPr>
    </w:p>
    <w:p w14:paraId="5ED7730B" w14:textId="527F6141" w:rsidR="00132969" w:rsidRPr="005E214E" w:rsidRDefault="00C5233C" w:rsidP="00132969">
      <w:pPr>
        <w:shd w:val="clear" w:color="auto" w:fill="BFBFBF"/>
        <w:jc w:val="center"/>
        <w:rPr>
          <w:rFonts w:asciiTheme="majorHAnsi" w:hAnsiTheme="majorHAnsi" w:cs="Arial"/>
          <w:b/>
        </w:rPr>
      </w:pPr>
      <w:r w:rsidRPr="005E214E">
        <w:rPr>
          <w:rFonts w:asciiTheme="majorHAnsi" w:hAnsiTheme="majorHAnsi" w:cs="Arial"/>
          <w:b/>
        </w:rPr>
        <w:t>2. PRESEN</w:t>
      </w:r>
      <w:r w:rsidR="00132969" w:rsidRPr="005E214E">
        <w:rPr>
          <w:rFonts w:asciiTheme="majorHAnsi" w:hAnsiTheme="majorHAnsi" w:cs="Arial"/>
          <w:b/>
        </w:rPr>
        <w:t xml:space="preserve">TACIÓN </w:t>
      </w:r>
    </w:p>
    <w:p w14:paraId="4CAE4AF1" w14:textId="557DCC80" w:rsidR="002B33B0" w:rsidRPr="005E214E" w:rsidRDefault="002B33B0" w:rsidP="00132969">
      <w:pPr>
        <w:ind w:left="360"/>
        <w:rPr>
          <w:rFonts w:asciiTheme="majorHAnsi" w:hAnsiTheme="majorHAnsi" w:cs="Arial"/>
          <w:b/>
        </w:rPr>
      </w:pPr>
    </w:p>
    <w:p w14:paraId="794EDE3A" w14:textId="224CF083" w:rsidR="00F02125" w:rsidRPr="005E214E" w:rsidRDefault="00F02125" w:rsidP="008E3EA0">
      <w:pPr>
        <w:jc w:val="both"/>
        <w:rPr>
          <w:rFonts w:asciiTheme="majorHAnsi" w:hAnsiTheme="majorHAnsi" w:cs="Arial"/>
          <w:bCs/>
        </w:rPr>
      </w:pPr>
      <w:r w:rsidRPr="005E214E">
        <w:rPr>
          <w:rFonts w:asciiTheme="majorHAnsi" w:hAnsiTheme="majorHAnsi" w:cs="Arial"/>
          <w:bCs/>
        </w:rPr>
        <w:t xml:space="preserve">En la materia de derecho </w:t>
      </w:r>
      <w:r w:rsidR="0090773A" w:rsidRPr="005E214E">
        <w:rPr>
          <w:rFonts w:asciiTheme="majorHAnsi" w:hAnsiTheme="majorHAnsi" w:cs="Arial"/>
          <w:bCs/>
        </w:rPr>
        <w:t>P</w:t>
      </w:r>
      <w:r w:rsidRPr="005E214E">
        <w:rPr>
          <w:rFonts w:asciiTheme="majorHAnsi" w:hAnsiTheme="majorHAnsi" w:cs="Arial"/>
          <w:bCs/>
        </w:rPr>
        <w:t xml:space="preserve">rocesal </w:t>
      </w:r>
      <w:r w:rsidR="0090773A" w:rsidRPr="005E214E">
        <w:rPr>
          <w:rFonts w:asciiTheme="majorHAnsi" w:hAnsiTheme="majorHAnsi" w:cs="Arial"/>
          <w:bCs/>
        </w:rPr>
        <w:t>P</w:t>
      </w:r>
      <w:r w:rsidRPr="005E214E">
        <w:rPr>
          <w:rFonts w:asciiTheme="majorHAnsi" w:hAnsiTheme="majorHAnsi" w:cs="Arial"/>
          <w:bCs/>
        </w:rPr>
        <w:t xml:space="preserve">enal el estudiante aprende la naturaleza y </w:t>
      </w:r>
      <w:r w:rsidR="00B3574E" w:rsidRPr="005E214E">
        <w:rPr>
          <w:rFonts w:asciiTheme="majorHAnsi" w:hAnsiTheme="majorHAnsi" w:cs="Arial"/>
          <w:bCs/>
        </w:rPr>
        <w:t>principios</w:t>
      </w:r>
      <w:r w:rsidRPr="005E214E">
        <w:rPr>
          <w:rFonts w:asciiTheme="majorHAnsi" w:hAnsiTheme="majorHAnsi" w:cs="Arial"/>
          <w:bCs/>
        </w:rPr>
        <w:t xml:space="preserve"> de los distintos modelos procesales</w:t>
      </w:r>
      <w:r w:rsidR="00B3574E" w:rsidRPr="005E214E">
        <w:rPr>
          <w:rFonts w:asciiTheme="majorHAnsi" w:hAnsiTheme="majorHAnsi" w:cs="Arial"/>
          <w:bCs/>
        </w:rPr>
        <w:t>. Desde esos presupuestos, se le enseña y explican los modelos</w:t>
      </w:r>
      <w:r w:rsidR="0005581A" w:rsidRPr="005E214E">
        <w:rPr>
          <w:rFonts w:asciiTheme="majorHAnsi" w:hAnsiTheme="majorHAnsi" w:cs="Arial"/>
          <w:bCs/>
        </w:rPr>
        <w:t>, esquemas y sistemas</w:t>
      </w:r>
      <w:r w:rsidR="00B3574E" w:rsidRPr="005E214E">
        <w:rPr>
          <w:rFonts w:asciiTheme="majorHAnsi" w:hAnsiTheme="majorHAnsi" w:cs="Arial"/>
          <w:bCs/>
        </w:rPr>
        <w:t xml:space="preserve"> procesales aplicables en Colombia</w:t>
      </w:r>
      <w:r w:rsidRPr="005E214E">
        <w:rPr>
          <w:rFonts w:asciiTheme="majorHAnsi" w:hAnsiTheme="majorHAnsi" w:cs="Arial"/>
          <w:bCs/>
        </w:rPr>
        <w:t xml:space="preserve">. </w:t>
      </w:r>
      <w:r w:rsidR="00B3574E" w:rsidRPr="005E214E">
        <w:rPr>
          <w:rFonts w:asciiTheme="majorHAnsi" w:hAnsiTheme="majorHAnsi" w:cs="Arial"/>
          <w:bCs/>
        </w:rPr>
        <w:t xml:space="preserve">Esta formación le permite al estudiante comprender </w:t>
      </w:r>
      <w:r w:rsidR="00C31625" w:rsidRPr="005E214E">
        <w:rPr>
          <w:rFonts w:asciiTheme="majorHAnsi" w:hAnsiTheme="majorHAnsi" w:cs="Arial"/>
          <w:bCs/>
        </w:rPr>
        <w:t>los desarrollos</w:t>
      </w:r>
      <w:r w:rsidR="00B3574E" w:rsidRPr="005E214E">
        <w:rPr>
          <w:rFonts w:asciiTheme="majorHAnsi" w:hAnsiTheme="majorHAnsi" w:cs="Arial"/>
          <w:bCs/>
        </w:rPr>
        <w:t xml:space="preserve"> procesales </w:t>
      </w:r>
      <w:r w:rsidR="00C31625" w:rsidRPr="005E214E">
        <w:rPr>
          <w:rFonts w:asciiTheme="majorHAnsi" w:hAnsiTheme="majorHAnsi" w:cs="Arial"/>
          <w:bCs/>
        </w:rPr>
        <w:t xml:space="preserve">sin que su visión se restrinja a la ley </w:t>
      </w:r>
      <w:r w:rsidR="003B7A1F" w:rsidRPr="005E214E">
        <w:rPr>
          <w:rFonts w:asciiTheme="majorHAnsi" w:hAnsiTheme="majorHAnsi" w:cs="Arial"/>
          <w:bCs/>
        </w:rPr>
        <w:t>aprobada</w:t>
      </w:r>
      <w:r w:rsidR="00B3574E" w:rsidRPr="005E214E">
        <w:rPr>
          <w:rFonts w:asciiTheme="majorHAnsi" w:hAnsiTheme="majorHAnsi" w:cs="Arial"/>
          <w:bCs/>
        </w:rPr>
        <w:t>.</w:t>
      </w:r>
    </w:p>
    <w:p w14:paraId="12D08D81" w14:textId="65D156C4" w:rsidR="00B3574E" w:rsidRPr="005E214E" w:rsidRDefault="00B3574E" w:rsidP="008E3EA0">
      <w:pPr>
        <w:jc w:val="both"/>
        <w:rPr>
          <w:rFonts w:asciiTheme="majorHAnsi" w:hAnsiTheme="majorHAnsi" w:cs="Arial"/>
          <w:bCs/>
        </w:rPr>
      </w:pPr>
    </w:p>
    <w:p w14:paraId="3F21548D" w14:textId="09F1DF60" w:rsidR="00F44F2A" w:rsidRPr="005E214E" w:rsidRDefault="00C106C3" w:rsidP="008E3EA0">
      <w:pPr>
        <w:jc w:val="both"/>
        <w:rPr>
          <w:rFonts w:asciiTheme="majorHAnsi" w:hAnsiTheme="majorHAnsi" w:cs="Arial"/>
          <w:bCs/>
        </w:rPr>
      </w:pPr>
      <w:r w:rsidRPr="005E214E">
        <w:rPr>
          <w:rFonts w:asciiTheme="majorHAnsi" w:hAnsiTheme="majorHAnsi" w:cs="Arial"/>
          <w:bCs/>
        </w:rPr>
        <w:t xml:space="preserve">El derecho </w:t>
      </w:r>
      <w:r w:rsidR="0090773A" w:rsidRPr="005E214E">
        <w:rPr>
          <w:rFonts w:asciiTheme="majorHAnsi" w:hAnsiTheme="majorHAnsi" w:cs="Arial"/>
          <w:bCs/>
        </w:rPr>
        <w:t>P</w:t>
      </w:r>
      <w:r w:rsidRPr="005E214E">
        <w:rPr>
          <w:rFonts w:asciiTheme="majorHAnsi" w:hAnsiTheme="majorHAnsi" w:cs="Arial"/>
          <w:bCs/>
        </w:rPr>
        <w:t xml:space="preserve">rocesal </w:t>
      </w:r>
      <w:r w:rsidR="0090773A" w:rsidRPr="005E214E">
        <w:rPr>
          <w:rFonts w:asciiTheme="majorHAnsi" w:hAnsiTheme="majorHAnsi" w:cs="Arial"/>
          <w:bCs/>
        </w:rPr>
        <w:t>P</w:t>
      </w:r>
      <w:r w:rsidRPr="005E214E">
        <w:rPr>
          <w:rFonts w:asciiTheme="majorHAnsi" w:hAnsiTheme="majorHAnsi" w:cs="Arial"/>
          <w:bCs/>
        </w:rPr>
        <w:t>enal tiene una</w:t>
      </w:r>
      <w:r w:rsidR="00BF33F7" w:rsidRPr="005E214E">
        <w:rPr>
          <w:rFonts w:asciiTheme="majorHAnsi" w:hAnsiTheme="majorHAnsi" w:cs="Arial"/>
          <w:bCs/>
        </w:rPr>
        <w:t>s</w:t>
      </w:r>
      <w:r w:rsidRPr="005E214E">
        <w:rPr>
          <w:rFonts w:asciiTheme="majorHAnsi" w:hAnsiTheme="majorHAnsi" w:cs="Arial"/>
          <w:bCs/>
        </w:rPr>
        <w:t xml:space="preserve"> particularidades</w:t>
      </w:r>
      <w:r w:rsidR="00BF33F7" w:rsidRPr="005E214E">
        <w:rPr>
          <w:rFonts w:asciiTheme="majorHAnsi" w:hAnsiTheme="majorHAnsi" w:cs="Arial"/>
          <w:bCs/>
        </w:rPr>
        <w:t xml:space="preserve"> muy</w:t>
      </w:r>
      <w:r w:rsidRPr="005E214E">
        <w:rPr>
          <w:rFonts w:asciiTheme="majorHAnsi" w:hAnsiTheme="majorHAnsi" w:cs="Arial"/>
          <w:bCs/>
        </w:rPr>
        <w:t xml:space="preserve"> especiales </w:t>
      </w:r>
      <w:r w:rsidR="0090773A" w:rsidRPr="005E214E">
        <w:rPr>
          <w:rFonts w:asciiTheme="majorHAnsi" w:hAnsiTheme="majorHAnsi" w:cs="Arial"/>
          <w:bCs/>
        </w:rPr>
        <w:t xml:space="preserve">dada su </w:t>
      </w:r>
      <w:r w:rsidR="00386C4D" w:rsidRPr="005E214E">
        <w:rPr>
          <w:rFonts w:asciiTheme="majorHAnsi" w:hAnsiTheme="majorHAnsi" w:cs="Arial"/>
          <w:bCs/>
        </w:rPr>
        <w:t>íntima</w:t>
      </w:r>
      <w:r w:rsidR="0090773A" w:rsidRPr="005E214E">
        <w:rPr>
          <w:rFonts w:asciiTheme="majorHAnsi" w:hAnsiTheme="majorHAnsi" w:cs="Arial"/>
          <w:bCs/>
        </w:rPr>
        <w:t xml:space="preserve"> relación con el derecho </w:t>
      </w:r>
      <w:r w:rsidR="005C46ED">
        <w:rPr>
          <w:rFonts w:asciiTheme="majorHAnsi" w:hAnsiTheme="majorHAnsi" w:cs="Arial"/>
          <w:bCs/>
        </w:rPr>
        <w:t>c</w:t>
      </w:r>
      <w:r w:rsidR="0090773A" w:rsidRPr="005E214E">
        <w:rPr>
          <w:rFonts w:asciiTheme="majorHAnsi" w:hAnsiTheme="majorHAnsi" w:cs="Arial"/>
          <w:bCs/>
        </w:rPr>
        <w:t>onstitucional. El estudiante</w:t>
      </w:r>
      <w:r w:rsidR="00BF33F7" w:rsidRPr="005E214E">
        <w:rPr>
          <w:rFonts w:asciiTheme="majorHAnsi" w:hAnsiTheme="majorHAnsi" w:cs="Arial"/>
          <w:bCs/>
        </w:rPr>
        <w:t xml:space="preserve"> </w:t>
      </w:r>
      <w:proofErr w:type="spellStart"/>
      <w:r w:rsidR="00BF33F7" w:rsidRPr="005E214E">
        <w:rPr>
          <w:rFonts w:asciiTheme="majorHAnsi" w:hAnsiTheme="majorHAnsi" w:cs="Arial"/>
          <w:bCs/>
        </w:rPr>
        <w:t>externadista</w:t>
      </w:r>
      <w:proofErr w:type="spellEnd"/>
      <w:r w:rsidR="0090773A" w:rsidRPr="005E214E">
        <w:rPr>
          <w:rFonts w:asciiTheme="majorHAnsi" w:hAnsiTheme="majorHAnsi" w:cs="Arial"/>
          <w:bCs/>
        </w:rPr>
        <w:t xml:space="preserve"> debe conocer, entender y </w:t>
      </w:r>
      <w:r w:rsidR="00BF33F7" w:rsidRPr="005E214E">
        <w:rPr>
          <w:rFonts w:asciiTheme="majorHAnsi" w:hAnsiTheme="majorHAnsi" w:cs="Arial"/>
          <w:bCs/>
        </w:rPr>
        <w:t xml:space="preserve">ser capaz de </w:t>
      </w:r>
      <w:r w:rsidR="0090773A" w:rsidRPr="005E214E">
        <w:rPr>
          <w:rFonts w:asciiTheme="majorHAnsi" w:hAnsiTheme="majorHAnsi" w:cs="Arial"/>
          <w:bCs/>
        </w:rPr>
        <w:t xml:space="preserve">resolver los distintos problemas jurídicos que suponen las diferentes injerencias en derechos fundamentales que ocurren por razón de la investigación penal. </w:t>
      </w:r>
      <w:r w:rsidR="00BF33F7" w:rsidRPr="005E214E">
        <w:rPr>
          <w:rFonts w:asciiTheme="majorHAnsi" w:hAnsiTheme="majorHAnsi" w:cs="Arial"/>
          <w:bCs/>
        </w:rPr>
        <w:t>Para tal efecto</w:t>
      </w:r>
      <w:r w:rsidR="005C46ED">
        <w:rPr>
          <w:rFonts w:asciiTheme="majorHAnsi" w:hAnsiTheme="majorHAnsi" w:cs="Arial"/>
          <w:bCs/>
        </w:rPr>
        <w:t>,</w:t>
      </w:r>
      <w:r w:rsidR="00BF33F7" w:rsidRPr="005E214E">
        <w:rPr>
          <w:rFonts w:asciiTheme="majorHAnsi" w:hAnsiTheme="majorHAnsi" w:cs="Arial"/>
          <w:bCs/>
        </w:rPr>
        <w:t xml:space="preserve"> debe</w:t>
      </w:r>
      <w:r w:rsidR="0090773A" w:rsidRPr="005E214E">
        <w:rPr>
          <w:rFonts w:asciiTheme="majorHAnsi" w:hAnsiTheme="majorHAnsi" w:cs="Arial"/>
          <w:bCs/>
        </w:rPr>
        <w:t xml:space="preserve"> </w:t>
      </w:r>
      <w:r w:rsidR="00BF33F7" w:rsidRPr="005E214E">
        <w:rPr>
          <w:rFonts w:asciiTheme="majorHAnsi" w:hAnsiTheme="majorHAnsi" w:cs="Arial"/>
          <w:bCs/>
        </w:rPr>
        <w:t>conocer</w:t>
      </w:r>
      <w:r w:rsidR="0090773A" w:rsidRPr="005E214E">
        <w:rPr>
          <w:rFonts w:asciiTheme="majorHAnsi" w:hAnsiTheme="majorHAnsi" w:cs="Arial"/>
          <w:bCs/>
        </w:rPr>
        <w:t xml:space="preserve"> las distint</w:t>
      </w:r>
      <w:r w:rsidR="00BF33F7" w:rsidRPr="005E214E">
        <w:rPr>
          <w:rFonts w:asciiTheme="majorHAnsi" w:hAnsiTheme="majorHAnsi" w:cs="Arial"/>
          <w:bCs/>
        </w:rPr>
        <w:t>a</w:t>
      </w:r>
      <w:r w:rsidR="0090773A" w:rsidRPr="005E214E">
        <w:rPr>
          <w:rFonts w:asciiTheme="majorHAnsi" w:hAnsiTheme="majorHAnsi" w:cs="Arial"/>
          <w:bCs/>
        </w:rPr>
        <w:t xml:space="preserve">s actividades de investigación existentes como los registros y allanamientos, la interceptación de comunicaciones, </w:t>
      </w:r>
      <w:r w:rsidR="00BF33F7" w:rsidRPr="005E214E">
        <w:rPr>
          <w:rFonts w:asciiTheme="majorHAnsi" w:hAnsiTheme="majorHAnsi" w:cs="Arial"/>
          <w:bCs/>
        </w:rPr>
        <w:t>las búsquedas selectivas en bases de datos y la obtención de muestras del imputado, entre otros muchos, así como la naturaleza, el rol y las funciones del juez de control de garantías.</w:t>
      </w:r>
    </w:p>
    <w:p w14:paraId="0EAE7EF4" w14:textId="77777777" w:rsidR="00F44F2A" w:rsidRPr="005E214E" w:rsidRDefault="00F44F2A" w:rsidP="008E3EA0">
      <w:pPr>
        <w:jc w:val="both"/>
        <w:rPr>
          <w:rFonts w:asciiTheme="majorHAnsi" w:hAnsiTheme="majorHAnsi" w:cs="Arial"/>
          <w:bCs/>
        </w:rPr>
      </w:pPr>
    </w:p>
    <w:p w14:paraId="296083B3" w14:textId="0002167E" w:rsidR="00F44F2A" w:rsidRPr="005E214E" w:rsidRDefault="00F44F2A" w:rsidP="008E3EA0">
      <w:pPr>
        <w:jc w:val="both"/>
        <w:rPr>
          <w:rFonts w:asciiTheme="majorHAnsi" w:hAnsiTheme="majorHAnsi" w:cs="Arial"/>
          <w:bCs/>
        </w:rPr>
      </w:pPr>
      <w:r w:rsidRPr="005E214E">
        <w:rPr>
          <w:rFonts w:asciiTheme="majorHAnsi" w:hAnsiTheme="majorHAnsi" w:cs="Arial"/>
          <w:bCs/>
        </w:rPr>
        <w:t xml:space="preserve">Así mismo, el estudiante de la cátedra de Procesal Penal debe ser capaz de entender la implicación constitucional y legal de la presunción de inocencia. </w:t>
      </w:r>
      <w:r w:rsidR="003A3E85" w:rsidRPr="005E214E">
        <w:rPr>
          <w:rFonts w:asciiTheme="majorHAnsi" w:hAnsiTheme="majorHAnsi" w:cs="Arial"/>
          <w:bCs/>
        </w:rPr>
        <w:t xml:space="preserve">Debe tener las herramientas necesarias para entender </w:t>
      </w:r>
      <w:r w:rsidR="00091B4E" w:rsidRPr="005E214E">
        <w:rPr>
          <w:rFonts w:asciiTheme="majorHAnsi" w:hAnsiTheme="majorHAnsi" w:cs="Arial"/>
          <w:bCs/>
        </w:rPr>
        <w:t xml:space="preserve">el valor constitucional de la libertad y conocer </w:t>
      </w:r>
      <w:r w:rsidR="003A3E85" w:rsidRPr="005E214E">
        <w:rPr>
          <w:rFonts w:asciiTheme="majorHAnsi" w:hAnsiTheme="majorHAnsi" w:cs="Arial"/>
          <w:bCs/>
        </w:rPr>
        <w:t xml:space="preserve">los presupuestos que legitiman la restricción de </w:t>
      </w:r>
      <w:r w:rsidR="00455B75" w:rsidRPr="005E214E">
        <w:rPr>
          <w:rFonts w:asciiTheme="majorHAnsi" w:hAnsiTheme="majorHAnsi" w:cs="Arial"/>
          <w:bCs/>
        </w:rPr>
        <w:t>esta</w:t>
      </w:r>
      <w:r w:rsidR="003A3E85" w:rsidRPr="005E214E">
        <w:rPr>
          <w:rFonts w:asciiTheme="majorHAnsi" w:hAnsiTheme="majorHAnsi" w:cs="Arial"/>
          <w:bCs/>
        </w:rPr>
        <w:t xml:space="preserve"> en el marco del proceso</w:t>
      </w:r>
      <w:r w:rsidR="003D1464" w:rsidRPr="005E214E">
        <w:rPr>
          <w:rFonts w:asciiTheme="majorHAnsi" w:hAnsiTheme="majorHAnsi" w:cs="Arial"/>
          <w:bCs/>
        </w:rPr>
        <w:t>, en un contexto de excepcionalidad</w:t>
      </w:r>
      <w:r w:rsidR="003A3E85" w:rsidRPr="005E214E">
        <w:rPr>
          <w:rFonts w:asciiTheme="majorHAnsi" w:hAnsiTheme="majorHAnsi" w:cs="Arial"/>
          <w:bCs/>
        </w:rPr>
        <w:t xml:space="preserve">. </w:t>
      </w:r>
      <w:r w:rsidR="00FC388D" w:rsidRPr="005E214E">
        <w:rPr>
          <w:rFonts w:asciiTheme="majorHAnsi" w:hAnsiTheme="majorHAnsi" w:cs="Arial"/>
          <w:bCs/>
        </w:rPr>
        <w:t xml:space="preserve">Al estudiante se le suministrarán las herramientas necesarias para que comprenda las implicaciones del proceso penal en la vida de las personas y oriente su práctica profesional </w:t>
      </w:r>
      <w:r w:rsidR="000417A6" w:rsidRPr="005E214E">
        <w:rPr>
          <w:rFonts w:asciiTheme="majorHAnsi" w:hAnsiTheme="majorHAnsi" w:cs="Arial"/>
          <w:bCs/>
        </w:rPr>
        <w:t>sobre la base de un derecho penal de intervención mínima y del uso racional del poder punitivo del Estado. Debe tener una formación orientada a garantizar la protección de la presunción de inocencia.</w:t>
      </w:r>
    </w:p>
    <w:p w14:paraId="6C6AE2BA" w14:textId="5B88F8A6" w:rsidR="00BF33F7" w:rsidRPr="005E214E" w:rsidRDefault="00BF33F7" w:rsidP="008E3EA0">
      <w:pPr>
        <w:jc w:val="both"/>
        <w:rPr>
          <w:rFonts w:asciiTheme="majorHAnsi" w:hAnsiTheme="majorHAnsi" w:cs="Arial"/>
          <w:bCs/>
        </w:rPr>
      </w:pPr>
    </w:p>
    <w:p w14:paraId="30B7D48B" w14:textId="11C1D2CD" w:rsidR="00BF33F7" w:rsidRPr="005E214E" w:rsidRDefault="00BF33F7" w:rsidP="008E3EA0">
      <w:pPr>
        <w:jc w:val="both"/>
        <w:rPr>
          <w:rFonts w:asciiTheme="majorHAnsi" w:hAnsiTheme="majorHAnsi" w:cs="Arial"/>
          <w:bCs/>
        </w:rPr>
      </w:pPr>
      <w:r w:rsidRPr="005E214E">
        <w:rPr>
          <w:rFonts w:asciiTheme="majorHAnsi" w:hAnsiTheme="majorHAnsi" w:cs="Arial"/>
          <w:bCs/>
        </w:rPr>
        <w:lastRenderedPageBreak/>
        <w:t xml:space="preserve">En la misma dirección, </w:t>
      </w:r>
      <w:r w:rsidR="002E46C3" w:rsidRPr="005E214E">
        <w:rPr>
          <w:rFonts w:asciiTheme="majorHAnsi" w:hAnsiTheme="majorHAnsi" w:cs="Arial"/>
          <w:bCs/>
        </w:rPr>
        <w:t xml:space="preserve">el estudiante debe conocer y </w:t>
      </w:r>
      <w:r w:rsidR="009D5ED5" w:rsidRPr="005E214E">
        <w:rPr>
          <w:rFonts w:asciiTheme="majorHAnsi" w:hAnsiTheme="majorHAnsi" w:cs="Arial"/>
          <w:bCs/>
        </w:rPr>
        <w:t>entender</w:t>
      </w:r>
      <w:r w:rsidRPr="005E214E">
        <w:rPr>
          <w:rFonts w:asciiTheme="majorHAnsi" w:hAnsiTheme="majorHAnsi" w:cs="Arial"/>
          <w:bCs/>
        </w:rPr>
        <w:t xml:space="preserve"> la estructura </w:t>
      </w:r>
      <w:r w:rsidR="009D5ED5" w:rsidRPr="005E214E">
        <w:rPr>
          <w:rFonts w:asciiTheme="majorHAnsi" w:hAnsiTheme="majorHAnsi" w:cs="Arial"/>
          <w:bCs/>
        </w:rPr>
        <w:t>de los distintos procesos penales existentes (procedimiento penal ordinario, procedimiento penal abreviado y acusador privado, proceso penal ante la Jurisdicción Especial de Paz y proceso penal militar)</w:t>
      </w:r>
      <w:r w:rsidR="002E46C3" w:rsidRPr="005E214E">
        <w:rPr>
          <w:rFonts w:asciiTheme="majorHAnsi" w:hAnsiTheme="majorHAnsi" w:cs="Arial"/>
          <w:bCs/>
        </w:rPr>
        <w:t xml:space="preserve">. </w:t>
      </w:r>
      <w:r w:rsidR="008472E5" w:rsidRPr="005E214E">
        <w:rPr>
          <w:rFonts w:asciiTheme="majorHAnsi" w:hAnsiTheme="majorHAnsi" w:cs="Arial"/>
          <w:bCs/>
        </w:rPr>
        <w:t xml:space="preserve">El alumno, debe contar con las herramientas necesarias desde los </w:t>
      </w:r>
      <w:r w:rsidR="005C46ED">
        <w:rPr>
          <w:rFonts w:asciiTheme="majorHAnsi" w:hAnsiTheme="majorHAnsi" w:cs="Arial"/>
          <w:bCs/>
        </w:rPr>
        <w:t xml:space="preserve">temas de jurisdicción </w:t>
      </w:r>
      <w:r w:rsidR="00386C4D">
        <w:rPr>
          <w:rFonts w:asciiTheme="majorHAnsi" w:hAnsiTheme="majorHAnsi" w:cs="Arial"/>
          <w:bCs/>
        </w:rPr>
        <w:t xml:space="preserve">y </w:t>
      </w:r>
      <w:r w:rsidR="00386C4D" w:rsidRPr="005E214E">
        <w:rPr>
          <w:rFonts w:asciiTheme="majorHAnsi" w:hAnsiTheme="majorHAnsi" w:cs="Arial"/>
          <w:bCs/>
        </w:rPr>
        <w:t>competencia</w:t>
      </w:r>
      <w:r w:rsidR="008472E5" w:rsidRPr="005E214E">
        <w:rPr>
          <w:rFonts w:asciiTheme="majorHAnsi" w:hAnsiTheme="majorHAnsi" w:cs="Arial"/>
          <w:bCs/>
        </w:rPr>
        <w:t xml:space="preserve"> </w:t>
      </w:r>
      <w:r w:rsidR="00977885" w:rsidRPr="005E214E">
        <w:rPr>
          <w:rFonts w:asciiTheme="majorHAnsi" w:hAnsiTheme="majorHAnsi" w:cs="Arial"/>
          <w:bCs/>
        </w:rPr>
        <w:t>para saber</w:t>
      </w:r>
      <w:r w:rsidR="009D5ED5" w:rsidRPr="005E214E">
        <w:rPr>
          <w:rFonts w:asciiTheme="majorHAnsi" w:hAnsiTheme="majorHAnsi" w:cs="Arial"/>
          <w:bCs/>
        </w:rPr>
        <w:t xml:space="preserve"> </w:t>
      </w:r>
      <w:r w:rsidR="005C46ED">
        <w:rPr>
          <w:rFonts w:asciiTheme="majorHAnsi" w:hAnsiTheme="majorHAnsi" w:cs="Arial"/>
          <w:bCs/>
        </w:rPr>
        <w:t xml:space="preserve">a qué autoridad le corresponde cada caso </w:t>
      </w:r>
      <w:r w:rsidR="009D5ED5" w:rsidRPr="005E214E">
        <w:rPr>
          <w:rFonts w:asciiTheme="majorHAnsi" w:hAnsiTheme="majorHAnsi" w:cs="Arial"/>
          <w:bCs/>
        </w:rPr>
        <w:t>y</w:t>
      </w:r>
      <w:r w:rsidR="00977885" w:rsidRPr="005E214E">
        <w:rPr>
          <w:rFonts w:asciiTheme="majorHAnsi" w:hAnsiTheme="majorHAnsi" w:cs="Arial"/>
          <w:bCs/>
        </w:rPr>
        <w:t xml:space="preserve"> debe</w:t>
      </w:r>
      <w:r w:rsidR="009D5ED5" w:rsidRPr="005E214E">
        <w:rPr>
          <w:rFonts w:asciiTheme="majorHAnsi" w:hAnsiTheme="majorHAnsi" w:cs="Arial"/>
          <w:bCs/>
        </w:rPr>
        <w:t xml:space="preserve"> poder discernir sobre los problemas jurídicos que aparecen entre ellos.</w:t>
      </w:r>
    </w:p>
    <w:p w14:paraId="4E50D42E" w14:textId="0DE8D9C8" w:rsidR="00213139" w:rsidRPr="005E214E" w:rsidRDefault="00213139" w:rsidP="008E3EA0">
      <w:pPr>
        <w:jc w:val="both"/>
        <w:rPr>
          <w:rFonts w:asciiTheme="majorHAnsi" w:hAnsiTheme="majorHAnsi" w:cs="Arial"/>
          <w:bCs/>
        </w:rPr>
      </w:pPr>
    </w:p>
    <w:p w14:paraId="744946B3" w14:textId="40FE11C8" w:rsidR="00527860" w:rsidRPr="005E214E" w:rsidRDefault="00977885" w:rsidP="008E3EA0">
      <w:pPr>
        <w:jc w:val="both"/>
        <w:rPr>
          <w:rFonts w:asciiTheme="majorHAnsi" w:hAnsiTheme="majorHAnsi" w:cs="Arial"/>
          <w:bCs/>
        </w:rPr>
      </w:pPr>
      <w:r w:rsidRPr="005E214E">
        <w:rPr>
          <w:rFonts w:asciiTheme="majorHAnsi" w:hAnsiTheme="majorHAnsi" w:cs="Arial"/>
          <w:bCs/>
        </w:rPr>
        <w:t>Además,</w:t>
      </w:r>
      <w:r w:rsidR="00213139" w:rsidRPr="005E214E">
        <w:rPr>
          <w:rFonts w:asciiTheme="majorHAnsi" w:hAnsiTheme="majorHAnsi" w:cs="Arial"/>
          <w:bCs/>
        </w:rPr>
        <w:t xml:space="preserve"> debe identificar la estructura del proceso penal ordinario </w:t>
      </w:r>
      <w:r w:rsidR="00156CE1" w:rsidRPr="005E214E">
        <w:rPr>
          <w:rFonts w:asciiTheme="majorHAnsi" w:hAnsiTheme="majorHAnsi" w:cs="Arial"/>
          <w:bCs/>
        </w:rPr>
        <w:t>-</w:t>
      </w:r>
      <w:r w:rsidR="00213139" w:rsidRPr="005E214E">
        <w:rPr>
          <w:rFonts w:asciiTheme="majorHAnsi" w:hAnsiTheme="majorHAnsi" w:cs="Arial"/>
          <w:bCs/>
        </w:rPr>
        <w:t>sistema penal acusatorio</w:t>
      </w:r>
      <w:r w:rsidR="00156CE1" w:rsidRPr="005E214E">
        <w:rPr>
          <w:rFonts w:asciiTheme="majorHAnsi" w:hAnsiTheme="majorHAnsi" w:cs="Arial"/>
          <w:bCs/>
        </w:rPr>
        <w:t>-</w:t>
      </w:r>
      <w:r w:rsidR="00213139" w:rsidRPr="005E214E">
        <w:rPr>
          <w:rFonts w:asciiTheme="majorHAnsi" w:hAnsiTheme="majorHAnsi" w:cs="Arial"/>
          <w:bCs/>
        </w:rPr>
        <w:t xml:space="preserve">, conocer y entender el propósito de cada una de las audiencias que componen su estructura, e identificar los actos y roles de cada parte en cada una de estas. Esta habilidad es esencial </w:t>
      </w:r>
      <w:r w:rsidR="00156CE1" w:rsidRPr="005E214E">
        <w:rPr>
          <w:rFonts w:asciiTheme="majorHAnsi" w:hAnsiTheme="majorHAnsi" w:cs="Arial"/>
          <w:bCs/>
        </w:rPr>
        <w:t xml:space="preserve">pues le permitirá </w:t>
      </w:r>
      <w:r w:rsidR="00213139" w:rsidRPr="005E214E">
        <w:rPr>
          <w:rFonts w:asciiTheme="majorHAnsi" w:hAnsiTheme="majorHAnsi" w:cs="Arial"/>
          <w:bCs/>
        </w:rPr>
        <w:t xml:space="preserve">al estudiante enfrentarse a este tipo de procedimientos </w:t>
      </w:r>
      <w:r w:rsidR="00156CE1" w:rsidRPr="005E214E">
        <w:rPr>
          <w:rFonts w:asciiTheme="majorHAnsi" w:hAnsiTheme="majorHAnsi" w:cs="Arial"/>
          <w:bCs/>
        </w:rPr>
        <w:t xml:space="preserve">desde distintos roles </w:t>
      </w:r>
      <w:r w:rsidR="00213139" w:rsidRPr="005E214E">
        <w:rPr>
          <w:rFonts w:asciiTheme="majorHAnsi" w:hAnsiTheme="majorHAnsi" w:cs="Arial"/>
          <w:bCs/>
        </w:rPr>
        <w:t xml:space="preserve">y salvaguardar los derechos de defensa, </w:t>
      </w:r>
      <w:r w:rsidR="005C46ED">
        <w:rPr>
          <w:rFonts w:asciiTheme="majorHAnsi" w:hAnsiTheme="majorHAnsi" w:cs="Arial"/>
          <w:bCs/>
        </w:rPr>
        <w:t xml:space="preserve">la </w:t>
      </w:r>
      <w:r w:rsidR="00213139" w:rsidRPr="005E214E">
        <w:rPr>
          <w:rFonts w:asciiTheme="majorHAnsi" w:hAnsiTheme="majorHAnsi" w:cs="Arial"/>
          <w:bCs/>
        </w:rPr>
        <w:t xml:space="preserve">justicia y </w:t>
      </w:r>
      <w:r w:rsidR="005C46ED">
        <w:rPr>
          <w:rFonts w:asciiTheme="majorHAnsi" w:hAnsiTheme="majorHAnsi" w:cs="Arial"/>
          <w:bCs/>
        </w:rPr>
        <w:t xml:space="preserve">el </w:t>
      </w:r>
      <w:r w:rsidR="00213139" w:rsidRPr="005E214E">
        <w:rPr>
          <w:rFonts w:asciiTheme="majorHAnsi" w:hAnsiTheme="majorHAnsi" w:cs="Arial"/>
          <w:bCs/>
        </w:rPr>
        <w:t>debido proceso.</w:t>
      </w:r>
    </w:p>
    <w:p w14:paraId="002C9C2C" w14:textId="77777777" w:rsidR="00527860" w:rsidRPr="005E214E" w:rsidRDefault="00527860" w:rsidP="008E3EA0">
      <w:pPr>
        <w:jc w:val="both"/>
        <w:rPr>
          <w:rFonts w:asciiTheme="majorHAnsi" w:hAnsiTheme="majorHAnsi" w:cs="Arial"/>
          <w:bCs/>
        </w:rPr>
      </w:pPr>
    </w:p>
    <w:p w14:paraId="561B393E" w14:textId="71F5C151" w:rsidR="002B33B0" w:rsidRPr="005E214E" w:rsidRDefault="002B33B0" w:rsidP="008E3EA0">
      <w:pPr>
        <w:jc w:val="both"/>
        <w:rPr>
          <w:rFonts w:asciiTheme="majorHAnsi" w:hAnsiTheme="majorHAnsi" w:cs="Arial"/>
          <w:bCs/>
        </w:rPr>
      </w:pPr>
      <w:r w:rsidRPr="005E214E">
        <w:rPr>
          <w:rFonts w:asciiTheme="majorHAnsi" w:hAnsiTheme="majorHAnsi" w:cs="Arial"/>
          <w:bCs/>
        </w:rPr>
        <w:t xml:space="preserve">La formación jurídica del abogado </w:t>
      </w:r>
      <w:proofErr w:type="spellStart"/>
      <w:r w:rsidRPr="005E214E">
        <w:rPr>
          <w:rFonts w:asciiTheme="majorHAnsi" w:hAnsiTheme="majorHAnsi" w:cs="Arial"/>
          <w:bCs/>
        </w:rPr>
        <w:t>externadista</w:t>
      </w:r>
      <w:proofErr w:type="spellEnd"/>
      <w:r w:rsidRPr="005E214E">
        <w:rPr>
          <w:rFonts w:asciiTheme="majorHAnsi" w:hAnsiTheme="majorHAnsi" w:cs="Arial"/>
          <w:bCs/>
        </w:rPr>
        <w:t xml:space="preserve"> exige que</w:t>
      </w:r>
      <w:r w:rsidR="00F02125" w:rsidRPr="005E214E">
        <w:rPr>
          <w:rFonts w:asciiTheme="majorHAnsi" w:hAnsiTheme="majorHAnsi" w:cs="Arial"/>
          <w:bCs/>
        </w:rPr>
        <w:t xml:space="preserve"> el </w:t>
      </w:r>
      <w:r w:rsidR="00213139" w:rsidRPr="005E214E">
        <w:rPr>
          <w:rFonts w:asciiTheme="majorHAnsi" w:hAnsiTheme="majorHAnsi" w:cs="Arial"/>
          <w:bCs/>
        </w:rPr>
        <w:t>profesional</w:t>
      </w:r>
      <w:r w:rsidR="00F02125" w:rsidRPr="005E214E">
        <w:rPr>
          <w:rFonts w:asciiTheme="majorHAnsi" w:hAnsiTheme="majorHAnsi" w:cs="Arial"/>
          <w:bCs/>
        </w:rPr>
        <w:t xml:space="preserve"> </w:t>
      </w:r>
      <w:r w:rsidRPr="005E214E">
        <w:rPr>
          <w:rFonts w:asciiTheme="majorHAnsi" w:hAnsiTheme="majorHAnsi" w:cs="Arial"/>
          <w:bCs/>
        </w:rPr>
        <w:t xml:space="preserve">cuente con una preparación suficiente </w:t>
      </w:r>
      <w:r w:rsidR="00213139" w:rsidRPr="005E214E">
        <w:rPr>
          <w:rFonts w:asciiTheme="majorHAnsi" w:hAnsiTheme="majorHAnsi" w:cs="Arial"/>
          <w:bCs/>
        </w:rPr>
        <w:t>para atender un proceso penal</w:t>
      </w:r>
      <w:r w:rsidRPr="005E214E">
        <w:rPr>
          <w:rFonts w:asciiTheme="majorHAnsi" w:hAnsiTheme="majorHAnsi" w:cs="Arial"/>
          <w:bCs/>
        </w:rPr>
        <w:t xml:space="preserve">. </w:t>
      </w:r>
      <w:r w:rsidR="00213139" w:rsidRPr="005E214E">
        <w:rPr>
          <w:rFonts w:asciiTheme="majorHAnsi" w:hAnsiTheme="majorHAnsi" w:cs="Arial"/>
          <w:bCs/>
        </w:rPr>
        <w:t xml:space="preserve">Esto supone que se le brinden las herramientas suficientes desde las órbitas teórica y práctica para que pueda desempeñarse satisfactoriamente al momento de enfrentarse a este tipo de situaciones. </w:t>
      </w:r>
    </w:p>
    <w:p w14:paraId="75AC4B06" w14:textId="77777777" w:rsidR="00BC7A00" w:rsidRPr="005E214E" w:rsidRDefault="00BC7A00" w:rsidP="008E3EA0">
      <w:pPr>
        <w:jc w:val="both"/>
        <w:rPr>
          <w:rFonts w:asciiTheme="majorHAnsi" w:hAnsiTheme="majorHAnsi" w:cs="Arial"/>
          <w:bCs/>
        </w:rPr>
      </w:pPr>
    </w:p>
    <w:p w14:paraId="0BD81397" w14:textId="632AF0D8" w:rsidR="00BC7A00" w:rsidRPr="005E214E" w:rsidRDefault="00BC7A00" w:rsidP="008E3EA0">
      <w:pPr>
        <w:jc w:val="both"/>
        <w:rPr>
          <w:rFonts w:asciiTheme="majorHAnsi" w:hAnsiTheme="majorHAnsi" w:cs="Arial"/>
          <w:bCs/>
        </w:rPr>
      </w:pPr>
      <w:r w:rsidRPr="005E214E">
        <w:rPr>
          <w:rFonts w:asciiTheme="majorHAnsi" w:hAnsiTheme="majorHAnsi" w:cs="Arial"/>
          <w:bCs/>
        </w:rPr>
        <w:t xml:space="preserve">De otro lado, el estudiante debe conocer y dominar los distintos mecanismos de justicia composicional y de terminación anticipada del proceso. Es por ello </w:t>
      </w:r>
      <w:proofErr w:type="gramStart"/>
      <w:r w:rsidRPr="005E214E">
        <w:rPr>
          <w:rFonts w:asciiTheme="majorHAnsi" w:hAnsiTheme="majorHAnsi" w:cs="Arial"/>
          <w:bCs/>
        </w:rPr>
        <w:t>que</w:t>
      </w:r>
      <w:proofErr w:type="gramEnd"/>
      <w:r w:rsidRPr="005E214E">
        <w:rPr>
          <w:rFonts w:asciiTheme="majorHAnsi" w:hAnsiTheme="majorHAnsi" w:cs="Arial"/>
          <w:bCs/>
        </w:rPr>
        <w:t xml:space="preserve"> </w:t>
      </w:r>
      <w:r w:rsidR="00B45964">
        <w:rPr>
          <w:rFonts w:asciiTheme="majorHAnsi" w:hAnsiTheme="majorHAnsi" w:cs="Arial"/>
          <w:bCs/>
        </w:rPr>
        <w:t xml:space="preserve">aprenderá </w:t>
      </w:r>
      <w:r w:rsidRPr="005E214E">
        <w:rPr>
          <w:rFonts w:asciiTheme="majorHAnsi" w:hAnsiTheme="majorHAnsi" w:cs="Arial"/>
          <w:bCs/>
        </w:rPr>
        <w:t>sobre el fundamento y funcionamiento de los preacuerdos, el principio de oportunidad, los mecanismos de conciliación y mediación, así como otras figuras similares.</w:t>
      </w:r>
    </w:p>
    <w:p w14:paraId="4B15ECB7" w14:textId="2327162D" w:rsidR="006D041E" w:rsidRPr="005E214E" w:rsidRDefault="006D041E" w:rsidP="008E3EA0">
      <w:pPr>
        <w:rPr>
          <w:rFonts w:asciiTheme="majorHAnsi" w:hAnsiTheme="majorHAnsi" w:cs="Arial"/>
        </w:rPr>
      </w:pPr>
    </w:p>
    <w:p w14:paraId="2C07CE7B" w14:textId="77777777" w:rsidR="00527860" w:rsidRPr="005E214E" w:rsidRDefault="00527860" w:rsidP="00527860">
      <w:pPr>
        <w:ind w:left="360"/>
        <w:jc w:val="both"/>
        <w:rPr>
          <w:rFonts w:asciiTheme="majorHAnsi" w:hAnsiTheme="majorHAnsi" w:cs="Arial"/>
        </w:rPr>
      </w:pPr>
    </w:p>
    <w:p w14:paraId="62489D2D" w14:textId="44D660DA" w:rsidR="00132969" w:rsidRPr="005E214E" w:rsidRDefault="00132969" w:rsidP="00132969">
      <w:pPr>
        <w:shd w:val="clear" w:color="auto" w:fill="BFBFBF"/>
        <w:rPr>
          <w:rFonts w:asciiTheme="majorHAnsi" w:hAnsiTheme="majorHAnsi" w:cs="Arial"/>
          <w:b/>
        </w:rPr>
      </w:pPr>
      <w:r w:rsidRPr="005E214E">
        <w:rPr>
          <w:rFonts w:asciiTheme="majorHAnsi" w:hAnsiTheme="majorHAnsi" w:cs="Arial"/>
          <w:b/>
        </w:rPr>
        <w:t xml:space="preserve">                                                     3. COMPETENCIAS </w:t>
      </w:r>
    </w:p>
    <w:p w14:paraId="62588046" w14:textId="77777777" w:rsidR="00132969" w:rsidRPr="005E214E" w:rsidRDefault="00132969" w:rsidP="00A622CB">
      <w:pPr>
        <w:rPr>
          <w:rFonts w:asciiTheme="majorHAnsi" w:hAnsiTheme="majorHAnsi" w:cs="Arial"/>
          <w:b/>
        </w:rPr>
      </w:pPr>
    </w:p>
    <w:p w14:paraId="677F0FDE" w14:textId="3460DF60" w:rsidR="00203B1B" w:rsidRPr="005E214E" w:rsidRDefault="00B45964" w:rsidP="00203B1B">
      <w:pPr>
        <w:jc w:val="both"/>
        <w:rPr>
          <w:rFonts w:asciiTheme="majorHAnsi" w:eastAsia="Tahoma" w:hAnsiTheme="majorHAnsi" w:cs="Tahoma"/>
          <w:bCs/>
        </w:rPr>
      </w:pPr>
      <w:r>
        <w:rPr>
          <w:rFonts w:asciiTheme="majorHAnsi" w:eastAsia="Tahoma" w:hAnsiTheme="majorHAnsi" w:cs="Tahoma"/>
          <w:bCs/>
        </w:rPr>
        <w:t>I</w:t>
      </w:r>
      <w:r w:rsidR="00D77B51" w:rsidRPr="005E214E">
        <w:rPr>
          <w:rFonts w:asciiTheme="majorHAnsi" w:eastAsia="Tahoma" w:hAnsiTheme="majorHAnsi" w:cs="Tahoma"/>
          <w:bCs/>
        </w:rPr>
        <w:t xml:space="preserve">dentificar </w:t>
      </w:r>
      <w:r>
        <w:rPr>
          <w:rFonts w:asciiTheme="majorHAnsi" w:eastAsia="Tahoma" w:hAnsiTheme="majorHAnsi" w:cs="Tahoma"/>
          <w:bCs/>
        </w:rPr>
        <w:t xml:space="preserve">los sistemas procesales, sus particularidades </w:t>
      </w:r>
      <w:r w:rsidR="00D77B51" w:rsidRPr="005E214E">
        <w:rPr>
          <w:rFonts w:asciiTheme="majorHAnsi" w:eastAsia="Tahoma" w:hAnsiTheme="majorHAnsi" w:cs="Tahoma"/>
          <w:bCs/>
        </w:rPr>
        <w:t>y su estructura</w:t>
      </w:r>
      <w:r>
        <w:rPr>
          <w:rFonts w:asciiTheme="majorHAnsi" w:eastAsia="Tahoma" w:hAnsiTheme="majorHAnsi" w:cs="Tahoma"/>
          <w:bCs/>
        </w:rPr>
        <w:t>,</w:t>
      </w:r>
      <w:r w:rsidR="00D77B51" w:rsidRPr="005E214E">
        <w:rPr>
          <w:rFonts w:asciiTheme="majorHAnsi" w:eastAsia="Tahoma" w:hAnsiTheme="majorHAnsi" w:cs="Tahoma"/>
          <w:bCs/>
        </w:rPr>
        <w:t xml:space="preserve"> </w:t>
      </w:r>
      <w:r>
        <w:rPr>
          <w:rFonts w:asciiTheme="majorHAnsi" w:eastAsia="Tahoma" w:hAnsiTheme="majorHAnsi" w:cs="Tahoma"/>
          <w:bCs/>
        </w:rPr>
        <w:t xml:space="preserve">así como </w:t>
      </w:r>
      <w:r w:rsidR="000C0D5E" w:rsidRPr="005E214E">
        <w:rPr>
          <w:rFonts w:asciiTheme="majorHAnsi" w:eastAsia="Tahoma" w:hAnsiTheme="majorHAnsi" w:cs="Tahoma"/>
          <w:bCs/>
        </w:rPr>
        <w:t>diferenciar</w:t>
      </w:r>
      <w:r w:rsidR="002B46F4" w:rsidRPr="005E214E">
        <w:rPr>
          <w:rFonts w:asciiTheme="majorHAnsi" w:eastAsia="Tahoma" w:hAnsiTheme="majorHAnsi" w:cs="Tahoma"/>
          <w:bCs/>
        </w:rPr>
        <w:t xml:space="preserve"> los dis</w:t>
      </w:r>
      <w:r w:rsidR="00BA0C25" w:rsidRPr="005E214E">
        <w:rPr>
          <w:rFonts w:asciiTheme="majorHAnsi" w:eastAsia="Tahoma" w:hAnsiTheme="majorHAnsi" w:cs="Tahoma"/>
          <w:bCs/>
        </w:rPr>
        <w:t>tintos procedimientos penales, su coexistencia y sus ámbitos de aplicación</w:t>
      </w:r>
      <w:r>
        <w:rPr>
          <w:rFonts w:asciiTheme="majorHAnsi" w:eastAsia="Tahoma" w:hAnsiTheme="majorHAnsi" w:cs="Tahoma"/>
          <w:bCs/>
        </w:rPr>
        <w:t xml:space="preserve">, lo que le permitirá </w:t>
      </w:r>
      <w:r w:rsidR="00746A5A" w:rsidRPr="005E214E">
        <w:rPr>
          <w:rFonts w:asciiTheme="majorHAnsi" w:eastAsia="Tahoma" w:hAnsiTheme="majorHAnsi" w:cs="Tahoma"/>
          <w:bCs/>
        </w:rPr>
        <w:t>encontrar</w:t>
      </w:r>
      <w:r w:rsidR="00BA0C25" w:rsidRPr="005E214E">
        <w:rPr>
          <w:rFonts w:asciiTheme="majorHAnsi" w:eastAsia="Tahoma" w:hAnsiTheme="majorHAnsi" w:cs="Tahoma"/>
          <w:bCs/>
        </w:rPr>
        <w:t xml:space="preserve"> </w:t>
      </w:r>
      <w:r>
        <w:rPr>
          <w:rFonts w:asciiTheme="majorHAnsi" w:eastAsia="Tahoma" w:hAnsiTheme="majorHAnsi" w:cs="Tahoma"/>
          <w:bCs/>
        </w:rPr>
        <w:t xml:space="preserve">y resolver </w:t>
      </w:r>
      <w:r w:rsidR="00BA0C25" w:rsidRPr="005E214E">
        <w:rPr>
          <w:rFonts w:asciiTheme="majorHAnsi" w:eastAsia="Tahoma" w:hAnsiTheme="majorHAnsi" w:cs="Tahoma"/>
          <w:bCs/>
        </w:rPr>
        <w:t xml:space="preserve">los </w:t>
      </w:r>
      <w:r>
        <w:rPr>
          <w:rFonts w:asciiTheme="majorHAnsi" w:eastAsia="Tahoma" w:hAnsiTheme="majorHAnsi" w:cs="Tahoma"/>
          <w:bCs/>
        </w:rPr>
        <w:t xml:space="preserve">diversos </w:t>
      </w:r>
      <w:r w:rsidR="00BA0C25" w:rsidRPr="005E214E">
        <w:rPr>
          <w:rFonts w:asciiTheme="majorHAnsi" w:eastAsia="Tahoma" w:hAnsiTheme="majorHAnsi" w:cs="Tahoma"/>
          <w:bCs/>
        </w:rPr>
        <w:t>problemas jurídicos derivados de las injerencias en los derechos fundamentales</w:t>
      </w:r>
      <w:r>
        <w:rPr>
          <w:rFonts w:asciiTheme="majorHAnsi" w:eastAsia="Tahoma" w:hAnsiTheme="majorHAnsi" w:cs="Tahoma"/>
          <w:bCs/>
        </w:rPr>
        <w:t>, iniciando desde las formulaciones clásicas (sistemas inquisitivos, acusatorios y mixtos), hasta las más modernas teorías procesales que se presentan el proceso penal moderno</w:t>
      </w:r>
      <w:r w:rsidR="00F168FA" w:rsidRPr="005E214E">
        <w:rPr>
          <w:rFonts w:asciiTheme="majorHAnsi" w:eastAsia="Tahoma" w:hAnsiTheme="majorHAnsi" w:cs="Tahoma"/>
          <w:bCs/>
        </w:rPr>
        <w:t xml:space="preserve">. </w:t>
      </w:r>
    </w:p>
    <w:p w14:paraId="199C86DF" w14:textId="77777777" w:rsidR="00203B1B" w:rsidRPr="005E214E" w:rsidRDefault="00203B1B" w:rsidP="00203B1B">
      <w:pPr>
        <w:rPr>
          <w:rFonts w:asciiTheme="majorHAnsi" w:eastAsia="Tahoma" w:hAnsiTheme="majorHAnsi" w:cs="Tahoma"/>
          <w:b/>
        </w:rPr>
      </w:pPr>
    </w:p>
    <w:p w14:paraId="465F93D8" w14:textId="031EDFF4" w:rsidR="00203B1B" w:rsidRDefault="00B45964" w:rsidP="00EB1967">
      <w:pPr>
        <w:jc w:val="both"/>
        <w:rPr>
          <w:rFonts w:asciiTheme="majorHAnsi" w:hAnsiTheme="majorHAnsi" w:cs="Arial"/>
        </w:rPr>
      </w:pPr>
      <w:r w:rsidRPr="00B45964">
        <w:rPr>
          <w:rFonts w:asciiTheme="majorHAnsi" w:hAnsiTheme="majorHAnsi" w:cs="Arial"/>
        </w:rPr>
        <w:t>R</w:t>
      </w:r>
      <w:r w:rsidR="00595433" w:rsidRPr="00B45964">
        <w:rPr>
          <w:rFonts w:asciiTheme="majorHAnsi" w:hAnsiTheme="majorHAnsi" w:cs="Arial"/>
        </w:rPr>
        <w:t>e</w:t>
      </w:r>
      <w:r w:rsidR="00595433" w:rsidRPr="005E214E">
        <w:rPr>
          <w:rFonts w:asciiTheme="majorHAnsi" w:hAnsiTheme="majorHAnsi" w:cs="Arial"/>
        </w:rPr>
        <w:t>conocer y señalar</w:t>
      </w:r>
      <w:r w:rsidR="00D96797" w:rsidRPr="005E214E">
        <w:rPr>
          <w:rFonts w:asciiTheme="majorHAnsi" w:hAnsiTheme="majorHAnsi" w:cs="Arial"/>
        </w:rPr>
        <w:t xml:space="preserve"> </w:t>
      </w:r>
      <w:r w:rsidR="00EF6500" w:rsidRPr="005E214E">
        <w:rPr>
          <w:rFonts w:asciiTheme="majorHAnsi" w:hAnsiTheme="majorHAnsi" w:cs="Arial"/>
        </w:rPr>
        <w:t>las características esenciales de</w:t>
      </w:r>
      <w:r w:rsidR="00D3026A" w:rsidRPr="005E214E">
        <w:rPr>
          <w:rFonts w:asciiTheme="majorHAnsi" w:hAnsiTheme="majorHAnsi" w:cs="Arial"/>
        </w:rPr>
        <w:t xml:space="preserve"> los diferentes sistemas procesales</w:t>
      </w:r>
      <w:r>
        <w:rPr>
          <w:rFonts w:asciiTheme="majorHAnsi" w:hAnsiTheme="majorHAnsi" w:cs="Arial"/>
        </w:rPr>
        <w:t xml:space="preserve">, entendiendo </w:t>
      </w:r>
      <w:r w:rsidR="007A0D28" w:rsidRPr="005E214E">
        <w:rPr>
          <w:rFonts w:asciiTheme="majorHAnsi" w:hAnsiTheme="majorHAnsi" w:cs="Arial"/>
        </w:rPr>
        <w:t>los</w:t>
      </w:r>
      <w:r w:rsidR="00EF6500" w:rsidRPr="005E214E">
        <w:rPr>
          <w:rFonts w:asciiTheme="majorHAnsi" w:hAnsiTheme="majorHAnsi" w:cs="Arial"/>
        </w:rPr>
        <w:t xml:space="preserve"> presupuestos y funcionamiento</w:t>
      </w:r>
      <w:r w:rsidR="007A0D28" w:rsidRPr="005E214E">
        <w:rPr>
          <w:rFonts w:asciiTheme="majorHAnsi" w:hAnsiTheme="majorHAnsi" w:cs="Arial"/>
        </w:rPr>
        <w:t xml:space="preserve"> de cada modelo</w:t>
      </w:r>
      <w:r w:rsidR="002B4245">
        <w:rPr>
          <w:rFonts w:asciiTheme="majorHAnsi" w:hAnsiTheme="majorHAnsi" w:cs="Arial"/>
        </w:rPr>
        <w:t>, lo que permitirá</w:t>
      </w:r>
      <w:r w:rsidR="00EB1967" w:rsidRPr="005E214E">
        <w:rPr>
          <w:rFonts w:asciiTheme="majorHAnsi" w:hAnsiTheme="majorHAnsi" w:cs="Arial"/>
        </w:rPr>
        <w:t xml:space="preserve"> </w:t>
      </w:r>
      <w:r w:rsidR="00F9086F" w:rsidRPr="005E214E">
        <w:rPr>
          <w:rFonts w:asciiTheme="majorHAnsi" w:hAnsiTheme="majorHAnsi" w:cs="Arial"/>
        </w:rPr>
        <w:t xml:space="preserve">plantear soluciones para los problemas jurídicos </w:t>
      </w:r>
      <w:r w:rsidR="002B4245">
        <w:rPr>
          <w:rFonts w:asciiTheme="majorHAnsi" w:hAnsiTheme="majorHAnsi" w:cs="Arial"/>
        </w:rPr>
        <w:t xml:space="preserve">concretos de la justicia penal en Colombia, usando diversas herramientas que brindan los sistemas </w:t>
      </w:r>
      <w:r w:rsidR="00386C4D">
        <w:rPr>
          <w:rFonts w:asciiTheme="majorHAnsi" w:hAnsiTheme="majorHAnsi" w:cs="Arial"/>
        </w:rPr>
        <w:t>procesales,</w:t>
      </w:r>
      <w:r w:rsidR="002B4245">
        <w:rPr>
          <w:rFonts w:asciiTheme="majorHAnsi" w:hAnsiTheme="majorHAnsi" w:cs="Arial"/>
        </w:rPr>
        <w:t xml:space="preserve"> pero siempre dentro del marco de las garantías y de la aplicación de una visión humanista y digna del derecho penal y la justicia. </w:t>
      </w:r>
    </w:p>
    <w:p w14:paraId="5C8BB959" w14:textId="5282483D" w:rsidR="000370D2" w:rsidRDefault="000370D2" w:rsidP="00EB1967">
      <w:pPr>
        <w:jc w:val="both"/>
        <w:rPr>
          <w:rFonts w:asciiTheme="majorHAnsi" w:hAnsiTheme="majorHAnsi" w:cs="Arial"/>
        </w:rPr>
      </w:pPr>
    </w:p>
    <w:p w14:paraId="6B1A39A1" w14:textId="753EB07C" w:rsidR="00386C4D" w:rsidRDefault="00386C4D" w:rsidP="00EB1967">
      <w:pPr>
        <w:jc w:val="both"/>
        <w:rPr>
          <w:rFonts w:asciiTheme="majorHAnsi" w:hAnsiTheme="majorHAnsi" w:cs="Arial"/>
        </w:rPr>
      </w:pPr>
    </w:p>
    <w:p w14:paraId="01057B96" w14:textId="4A62EAC1" w:rsidR="001D05FC" w:rsidRDefault="001D05FC" w:rsidP="00EB1967">
      <w:pPr>
        <w:jc w:val="both"/>
        <w:rPr>
          <w:rFonts w:asciiTheme="majorHAnsi" w:hAnsiTheme="majorHAnsi" w:cs="Arial"/>
        </w:rPr>
      </w:pPr>
    </w:p>
    <w:p w14:paraId="4FD4CFF8" w14:textId="323B4AF1" w:rsidR="001D05FC" w:rsidRDefault="001D05FC" w:rsidP="00EB1967">
      <w:pPr>
        <w:jc w:val="both"/>
        <w:rPr>
          <w:rFonts w:asciiTheme="majorHAnsi" w:hAnsiTheme="majorHAnsi" w:cs="Arial"/>
        </w:rPr>
      </w:pPr>
    </w:p>
    <w:p w14:paraId="27B6BDF8" w14:textId="77777777" w:rsidR="001D05FC" w:rsidRDefault="001D05FC" w:rsidP="00EB1967">
      <w:pPr>
        <w:jc w:val="both"/>
        <w:rPr>
          <w:rFonts w:asciiTheme="majorHAnsi" w:hAnsiTheme="majorHAnsi" w:cs="Arial"/>
        </w:rPr>
      </w:pPr>
    </w:p>
    <w:p w14:paraId="74ED3A99" w14:textId="4BEDEB07" w:rsidR="00386C4D" w:rsidRDefault="00386C4D" w:rsidP="00EB1967">
      <w:pPr>
        <w:jc w:val="both"/>
        <w:rPr>
          <w:rFonts w:asciiTheme="majorHAnsi" w:hAnsiTheme="majorHAnsi" w:cs="Arial"/>
        </w:rPr>
      </w:pPr>
    </w:p>
    <w:p w14:paraId="015E57AB" w14:textId="1B55F2B8" w:rsidR="00386C4D" w:rsidRDefault="00386C4D" w:rsidP="00EB1967">
      <w:pPr>
        <w:jc w:val="both"/>
        <w:rPr>
          <w:rFonts w:asciiTheme="majorHAnsi" w:hAnsiTheme="majorHAnsi" w:cs="Arial"/>
        </w:rPr>
      </w:pPr>
    </w:p>
    <w:p w14:paraId="4B4D4E24" w14:textId="77777777" w:rsidR="00386C4D" w:rsidRDefault="00386C4D" w:rsidP="00EB1967">
      <w:pPr>
        <w:jc w:val="both"/>
        <w:rPr>
          <w:rFonts w:asciiTheme="majorHAnsi" w:hAnsiTheme="majorHAnsi" w:cs="Arial"/>
        </w:rPr>
      </w:pPr>
    </w:p>
    <w:p w14:paraId="4EA0796B" w14:textId="77777777" w:rsidR="003F40C5" w:rsidRPr="005E214E" w:rsidRDefault="003F40C5" w:rsidP="003F40C5">
      <w:pPr>
        <w:pStyle w:val="Cuadrculamedia1-nfasis21"/>
        <w:spacing w:after="0" w:line="240" w:lineRule="auto"/>
        <w:ind w:left="0"/>
        <w:jc w:val="both"/>
        <w:rPr>
          <w:rFonts w:asciiTheme="majorHAnsi" w:hAnsiTheme="majorHAnsi" w:cs="Arial"/>
          <w:sz w:val="24"/>
          <w:szCs w:val="24"/>
        </w:rPr>
      </w:pPr>
    </w:p>
    <w:p w14:paraId="53BD6EDF" w14:textId="51A931F4" w:rsidR="003F40C5" w:rsidRPr="005E214E" w:rsidRDefault="003F40C5" w:rsidP="003F40C5">
      <w:pPr>
        <w:shd w:val="clear" w:color="auto" w:fill="BFBFBF"/>
        <w:rPr>
          <w:rFonts w:asciiTheme="majorHAnsi" w:hAnsiTheme="majorHAnsi" w:cs="Arial"/>
          <w:b/>
        </w:rPr>
      </w:pPr>
      <w:r w:rsidRPr="005E214E">
        <w:rPr>
          <w:rFonts w:asciiTheme="majorHAnsi" w:hAnsiTheme="majorHAnsi" w:cs="Arial"/>
          <w:b/>
        </w:rPr>
        <w:t xml:space="preserve">                       </w:t>
      </w:r>
      <w:r w:rsidR="00FB7F2A" w:rsidRPr="005E214E">
        <w:rPr>
          <w:rFonts w:asciiTheme="majorHAnsi" w:hAnsiTheme="majorHAnsi" w:cs="Arial"/>
          <w:b/>
        </w:rPr>
        <w:t xml:space="preserve">                              4</w:t>
      </w:r>
      <w:r w:rsidRPr="005E214E">
        <w:rPr>
          <w:rFonts w:asciiTheme="majorHAnsi" w:hAnsiTheme="majorHAnsi" w:cs="Arial"/>
          <w:b/>
        </w:rPr>
        <w:t xml:space="preserve">. </w:t>
      </w:r>
      <w:r w:rsidR="00DC3FA8" w:rsidRPr="005E214E">
        <w:rPr>
          <w:rFonts w:asciiTheme="majorHAnsi" w:hAnsiTheme="majorHAnsi" w:cs="Arial"/>
          <w:b/>
        </w:rPr>
        <w:t>RESULTADOS DE APRENDIZAJE</w:t>
      </w:r>
    </w:p>
    <w:p w14:paraId="25535334" w14:textId="77777777" w:rsidR="003F40C5" w:rsidRPr="005E214E" w:rsidRDefault="003F40C5" w:rsidP="003F40C5">
      <w:pPr>
        <w:rPr>
          <w:rFonts w:asciiTheme="majorHAnsi" w:hAnsiTheme="majorHAnsi" w:cs="Arial"/>
          <w:b/>
        </w:rPr>
      </w:pPr>
    </w:p>
    <w:p w14:paraId="7D5EE81E" w14:textId="179D6536" w:rsidR="003F40C5" w:rsidRPr="005E214E" w:rsidRDefault="002B4245" w:rsidP="003F40C5">
      <w:pPr>
        <w:pStyle w:val="Cuadrculamedia1-nfasis21"/>
        <w:spacing w:after="0" w:line="240" w:lineRule="auto"/>
        <w:ind w:left="0"/>
        <w:jc w:val="both"/>
        <w:rPr>
          <w:rFonts w:asciiTheme="majorHAnsi" w:hAnsiTheme="majorHAnsi" w:cs="Arial"/>
          <w:sz w:val="24"/>
          <w:szCs w:val="24"/>
        </w:rPr>
      </w:pPr>
      <w:r>
        <w:rPr>
          <w:rFonts w:asciiTheme="majorHAnsi" w:hAnsiTheme="majorHAnsi" w:cs="Arial"/>
          <w:sz w:val="24"/>
          <w:szCs w:val="24"/>
        </w:rPr>
        <w:t>C</w:t>
      </w:r>
      <w:r w:rsidR="008C5104" w:rsidRPr="005E214E">
        <w:rPr>
          <w:rFonts w:asciiTheme="majorHAnsi" w:hAnsiTheme="majorHAnsi" w:cs="Arial"/>
          <w:sz w:val="24"/>
          <w:szCs w:val="24"/>
        </w:rPr>
        <w:t xml:space="preserve">omprender </w:t>
      </w:r>
      <w:r w:rsidR="0025271F" w:rsidRPr="005E214E">
        <w:rPr>
          <w:rFonts w:asciiTheme="majorHAnsi" w:hAnsiTheme="majorHAnsi" w:cs="Arial"/>
          <w:sz w:val="24"/>
          <w:szCs w:val="24"/>
        </w:rPr>
        <w:t xml:space="preserve">la </w:t>
      </w:r>
      <w:r>
        <w:rPr>
          <w:rFonts w:asciiTheme="majorHAnsi" w:hAnsiTheme="majorHAnsi" w:cs="Arial"/>
          <w:sz w:val="24"/>
          <w:szCs w:val="24"/>
        </w:rPr>
        <w:t xml:space="preserve">trascendencia </w:t>
      </w:r>
      <w:r w:rsidR="0025271F" w:rsidRPr="005E214E">
        <w:rPr>
          <w:rFonts w:asciiTheme="majorHAnsi" w:hAnsiTheme="majorHAnsi" w:cs="Arial"/>
          <w:sz w:val="24"/>
          <w:szCs w:val="24"/>
        </w:rPr>
        <w:t>de</w:t>
      </w:r>
      <w:r>
        <w:rPr>
          <w:rFonts w:asciiTheme="majorHAnsi" w:hAnsiTheme="majorHAnsi" w:cs="Arial"/>
          <w:sz w:val="24"/>
          <w:szCs w:val="24"/>
        </w:rPr>
        <w:t xml:space="preserve">l </w:t>
      </w:r>
      <w:r w:rsidR="0025271F" w:rsidRPr="005E214E">
        <w:rPr>
          <w:rFonts w:asciiTheme="majorHAnsi" w:hAnsiTheme="majorHAnsi" w:cs="Arial"/>
          <w:sz w:val="24"/>
          <w:szCs w:val="24"/>
        </w:rPr>
        <w:t xml:space="preserve">proceso penal en la vida de </w:t>
      </w:r>
      <w:r>
        <w:rPr>
          <w:rFonts w:asciiTheme="majorHAnsi" w:hAnsiTheme="majorHAnsi" w:cs="Arial"/>
          <w:sz w:val="24"/>
          <w:szCs w:val="24"/>
        </w:rPr>
        <w:t xml:space="preserve">los ciudadanos y la alta afectación que comporta para sus </w:t>
      </w:r>
      <w:r w:rsidR="0025271F" w:rsidRPr="005E214E">
        <w:rPr>
          <w:rFonts w:asciiTheme="majorHAnsi" w:hAnsiTheme="majorHAnsi" w:cs="Arial"/>
          <w:sz w:val="24"/>
          <w:szCs w:val="24"/>
        </w:rPr>
        <w:t>derechos fundamentales</w:t>
      </w:r>
      <w:r w:rsidR="00C63B7D" w:rsidRPr="005E214E">
        <w:rPr>
          <w:rFonts w:asciiTheme="majorHAnsi" w:hAnsiTheme="majorHAnsi" w:cs="Arial"/>
          <w:sz w:val="24"/>
          <w:szCs w:val="24"/>
        </w:rPr>
        <w:t>,</w:t>
      </w:r>
      <w:r w:rsidR="0025271F" w:rsidRPr="005E214E">
        <w:rPr>
          <w:rFonts w:asciiTheme="majorHAnsi" w:hAnsiTheme="majorHAnsi" w:cs="Arial"/>
          <w:sz w:val="24"/>
          <w:szCs w:val="24"/>
        </w:rPr>
        <w:t xml:space="preserve"> </w:t>
      </w:r>
      <w:r w:rsidR="00FB74DE" w:rsidRPr="005E214E">
        <w:rPr>
          <w:rFonts w:asciiTheme="majorHAnsi" w:hAnsiTheme="majorHAnsi" w:cs="Arial"/>
          <w:sz w:val="24"/>
          <w:szCs w:val="24"/>
        </w:rPr>
        <w:t xml:space="preserve">especialmente en lo que toca con la libertad, la defensa, la justicia y la presunción de inocencia. </w:t>
      </w:r>
    </w:p>
    <w:p w14:paraId="002F399C" w14:textId="77777777" w:rsidR="00FB74DE" w:rsidRPr="005E214E" w:rsidRDefault="00FB74DE" w:rsidP="003F40C5">
      <w:pPr>
        <w:pStyle w:val="Cuadrculamedia1-nfasis21"/>
        <w:spacing w:after="0" w:line="240" w:lineRule="auto"/>
        <w:ind w:left="0"/>
        <w:jc w:val="both"/>
        <w:rPr>
          <w:rFonts w:asciiTheme="majorHAnsi" w:hAnsiTheme="majorHAnsi" w:cs="Arial"/>
          <w:sz w:val="24"/>
          <w:szCs w:val="24"/>
        </w:rPr>
      </w:pPr>
    </w:p>
    <w:p w14:paraId="5AD5CDE9" w14:textId="6162B1B8" w:rsidR="00FB74DE" w:rsidRPr="005E214E" w:rsidRDefault="002B4245" w:rsidP="003F40C5">
      <w:pPr>
        <w:pStyle w:val="Cuadrculamedia1-nfasis21"/>
        <w:spacing w:after="0" w:line="240" w:lineRule="auto"/>
        <w:ind w:left="0"/>
        <w:jc w:val="both"/>
        <w:rPr>
          <w:rFonts w:asciiTheme="majorHAnsi" w:hAnsiTheme="majorHAnsi" w:cs="Arial"/>
          <w:sz w:val="24"/>
          <w:szCs w:val="24"/>
        </w:rPr>
      </w:pPr>
      <w:r>
        <w:rPr>
          <w:rFonts w:asciiTheme="majorHAnsi" w:hAnsiTheme="majorHAnsi" w:cs="Arial"/>
          <w:sz w:val="24"/>
          <w:szCs w:val="24"/>
        </w:rPr>
        <w:t>Identificar</w:t>
      </w:r>
      <w:r w:rsidR="00FB74DE" w:rsidRPr="005E214E">
        <w:rPr>
          <w:rFonts w:asciiTheme="majorHAnsi" w:hAnsiTheme="majorHAnsi" w:cs="Arial"/>
          <w:sz w:val="24"/>
          <w:szCs w:val="24"/>
        </w:rPr>
        <w:t xml:space="preserve"> las garantías constitucionales de los ciudadanos </w:t>
      </w:r>
      <w:r>
        <w:rPr>
          <w:rFonts w:asciiTheme="majorHAnsi" w:hAnsiTheme="majorHAnsi" w:cs="Arial"/>
          <w:sz w:val="24"/>
          <w:szCs w:val="24"/>
        </w:rPr>
        <w:t xml:space="preserve">y su relación directa con la </w:t>
      </w:r>
      <w:r w:rsidR="00FB74DE" w:rsidRPr="005E214E">
        <w:rPr>
          <w:rFonts w:asciiTheme="majorHAnsi" w:hAnsiTheme="majorHAnsi" w:cs="Arial"/>
          <w:sz w:val="24"/>
          <w:szCs w:val="24"/>
        </w:rPr>
        <w:t xml:space="preserve">intervención mínima y razonable del Estado </w:t>
      </w:r>
      <w:r w:rsidR="00C16B0D" w:rsidRPr="005E214E">
        <w:rPr>
          <w:rFonts w:asciiTheme="majorHAnsi" w:hAnsiTheme="majorHAnsi" w:cs="Arial"/>
          <w:sz w:val="24"/>
          <w:szCs w:val="24"/>
        </w:rPr>
        <w:t xml:space="preserve">en el ejercicio de la acción penal. </w:t>
      </w:r>
    </w:p>
    <w:p w14:paraId="15DF5600" w14:textId="77777777" w:rsidR="008E3ABB" w:rsidRPr="005E214E" w:rsidRDefault="008E3ABB" w:rsidP="003F40C5">
      <w:pPr>
        <w:pStyle w:val="Cuadrculamedia1-nfasis21"/>
        <w:spacing w:after="0" w:line="240" w:lineRule="auto"/>
        <w:ind w:left="0"/>
        <w:jc w:val="both"/>
        <w:rPr>
          <w:rFonts w:asciiTheme="majorHAnsi" w:hAnsiTheme="majorHAnsi" w:cs="Arial"/>
          <w:sz w:val="24"/>
          <w:szCs w:val="24"/>
        </w:rPr>
      </w:pPr>
    </w:p>
    <w:p w14:paraId="18E46C26" w14:textId="77777777" w:rsidR="00C12F04" w:rsidRDefault="002B4245" w:rsidP="003F40C5">
      <w:pPr>
        <w:pStyle w:val="Cuadrculamedia1-nfasis21"/>
        <w:spacing w:after="0" w:line="240" w:lineRule="auto"/>
        <w:ind w:left="0"/>
        <w:jc w:val="both"/>
        <w:rPr>
          <w:rFonts w:asciiTheme="majorHAnsi" w:hAnsiTheme="majorHAnsi" w:cs="Arial"/>
          <w:sz w:val="24"/>
          <w:szCs w:val="24"/>
        </w:rPr>
      </w:pPr>
      <w:r>
        <w:rPr>
          <w:rFonts w:asciiTheme="majorHAnsi" w:hAnsiTheme="majorHAnsi" w:cs="Arial"/>
          <w:sz w:val="24"/>
          <w:szCs w:val="24"/>
        </w:rPr>
        <w:t xml:space="preserve">Diferenciar </w:t>
      </w:r>
      <w:r w:rsidR="008E3ABB" w:rsidRPr="005E214E">
        <w:rPr>
          <w:rFonts w:asciiTheme="majorHAnsi" w:hAnsiTheme="majorHAnsi" w:cs="Arial"/>
          <w:sz w:val="24"/>
          <w:szCs w:val="24"/>
        </w:rPr>
        <w:t xml:space="preserve">los </w:t>
      </w:r>
      <w:r>
        <w:rPr>
          <w:rFonts w:asciiTheme="majorHAnsi" w:hAnsiTheme="majorHAnsi" w:cs="Arial"/>
          <w:sz w:val="24"/>
          <w:szCs w:val="24"/>
        </w:rPr>
        <w:t xml:space="preserve">sistemas procesales </w:t>
      </w:r>
      <w:r w:rsidR="008E3ABB" w:rsidRPr="005E214E">
        <w:rPr>
          <w:rFonts w:asciiTheme="majorHAnsi" w:hAnsiTheme="majorHAnsi" w:cs="Arial"/>
          <w:sz w:val="24"/>
          <w:szCs w:val="24"/>
        </w:rPr>
        <w:t xml:space="preserve">penales, la estructura </w:t>
      </w:r>
      <w:r>
        <w:rPr>
          <w:rFonts w:asciiTheme="majorHAnsi" w:hAnsiTheme="majorHAnsi" w:cs="Arial"/>
          <w:sz w:val="24"/>
          <w:szCs w:val="24"/>
        </w:rPr>
        <w:t xml:space="preserve">de los diferentes modelos de </w:t>
      </w:r>
      <w:r w:rsidR="008E3ABB" w:rsidRPr="005E214E">
        <w:rPr>
          <w:rFonts w:asciiTheme="majorHAnsi" w:hAnsiTheme="majorHAnsi" w:cs="Arial"/>
          <w:sz w:val="24"/>
          <w:szCs w:val="24"/>
        </w:rPr>
        <w:t xml:space="preserve">proceso y </w:t>
      </w:r>
      <w:r w:rsidR="00C12F04">
        <w:rPr>
          <w:rFonts w:asciiTheme="majorHAnsi" w:hAnsiTheme="majorHAnsi" w:cs="Arial"/>
          <w:sz w:val="24"/>
          <w:szCs w:val="24"/>
        </w:rPr>
        <w:t xml:space="preserve">las actuaciones que los componen. </w:t>
      </w:r>
    </w:p>
    <w:p w14:paraId="71659B78" w14:textId="77777777" w:rsidR="00C12F04" w:rsidRDefault="00C12F04" w:rsidP="003F40C5">
      <w:pPr>
        <w:pStyle w:val="Cuadrculamedia1-nfasis21"/>
        <w:spacing w:after="0" w:line="240" w:lineRule="auto"/>
        <w:ind w:left="0"/>
        <w:jc w:val="both"/>
        <w:rPr>
          <w:rFonts w:asciiTheme="majorHAnsi" w:hAnsiTheme="majorHAnsi" w:cs="Arial"/>
          <w:sz w:val="24"/>
          <w:szCs w:val="24"/>
        </w:rPr>
      </w:pPr>
    </w:p>
    <w:p w14:paraId="341C8336" w14:textId="4B00FAEF" w:rsidR="007204A8" w:rsidRDefault="00C12F04" w:rsidP="003F40C5">
      <w:pPr>
        <w:pStyle w:val="Cuadrculamedia1-nfasis21"/>
        <w:spacing w:after="0" w:line="240" w:lineRule="auto"/>
        <w:ind w:left="0"/>
        <w:jc w:val="both"/>
        <w:rPr>
          <w:rFonts w:asciiTheme="majorHAnsi" w:hAnsiTheme="majorHAnsi" w:cs="Arial"/>
          <w:sz w:val="24"/>
          <w:szCs w:val="24"/>
        </w:rPr>
      </w:pPr>
      <w:r>
        <w:rPr>
          <w:rFonts w:asciiTheme="majorHAnsi" w:hAnsiTheme="majorHAnsi" w:cs="Arial"/>
          <w:sz w:val="24"/>
          <w:szCs w:val="24"/>
        </w:rPr>
        <w:t xml:space="preserve">Reconocer y delimitar </w:t>
      </w:r>
      <w:r w:rsidR="00170A61" w:rsidRPr="005E214E">
        <w:rPr>
          <w:rFonts w:asciiTheme="majorHAnsi" w:hAnsiTheme="majorHAnsi" w:cs="Arial"/>
          <w:sz w:val="24"/>
          <w:szCs w:val="24"/>
        </w:rPr>
        <w:t>adecuadamente los roles de</w:t>
      </w:r>
      <w:r>
        <w:rPr>
          <w:rFonts w:asciiTheme="majorHAnsi" w:hAnsiTheme="majorHAnsi" w:cs="Arial"/>
          <w:sz w:val="24"/>
          <w:szCs w:val="24"/>
        </w:rPr>
        <w:t xml:space="preserve"> cada uno de los intervinientes en el </w:t>
      </w:r>
      <w:r w:rsidR="00170A61" w:rsidRPr="005E214E">
        <w:rPr>
          <w:rFonts w:asciiTheme="majorHAnsi" w:hAnsiTheme="majorHAnsi" w:cs="Arial"/>
          <w:sz w:val="24"/>
          <w:szCs w:val="24"/>
        </w:rPr>
        <w:t xml:space="preserve">proceso </w:t>
      </w:r>
      <w:r>
        <w:rPr>
          <w:rFonts w:asciiTheme="majorHAnsi" w:hAnsiTheme="majorHAnsi" w:cs="Arial"/>
          <w:sz w:val="24"/>
          <w:szCs w:val="24"/>
        </w:rPr>
        <w:t xml:space="preserve">penal </w:t>
      </w:r>
      <w:r w:rsidR="00170A61" w:rsidRPr="005E214E">
        <w:rPr>
          <w:rFonts w:asciiTheme="majorHAnsi" w:hAnsiTheme="majorHAnsi" w:cs="Arial"/>
          <w:sz w:val="24"/>
          <w:szCs w:val="24"/>
        </w:rPr>
        <w:t>(jue</w:t>
      </w:r>
      <w:r>
        <w:rPr>
          <w:rFonts w:asciiTheme="majorHAnsi" w:hAnsiTheme="majorHAnsi" w:cs="Arial"/>
          <w:sz w:val="24"/>
          <w:szCs w:val="24"/>
        </w:rPr>
        <w:t>ces</w:t>
      </w:r>
      <w:r w:rsidR="00170A61" w:rsidRPr="005E214E">
        <w:rPr>
          <w:rFonts w:asciiTheme="majorHAnsi" w:hAnsiTheme="majorHAnsi" w:cs="Arial"/>
          <w:sz w:val="24"/>
          <w:szCs w:val="24"/>
        </w:rPr>
        <w:t>, fiscal, defensor</w:t>
      </w:r>
      <w:r>
        <w:rPr>
          <w:rFonts w:asciiTheme="majorHAnsi" w:hAnsiTheme="majorHAnsi" w:cs="Arial"/>
          <w:sz w:val="24"/>
          <w:szCs w:val="24"/>
        </w:rPr>
        <w:t>,</w:t>
      </w:r>
      <w:r w:rsidR="00170A61" w:rsidRPr="005E214E">
        <w:rPr>
          <w:rFonts w:asciiTheme="majorHAnsi" w:hAnsiTheme="majorHAnsi" w:cs="Arial"/>
          <w:sz w:val="24"/>
          <w:szCs w:val="24"/>
        </w:rPr>
        <w:t xml:space="preserve"> representante de víctimas </w:t>
      </w:r>
      <w:r>
        <w:rPr>
          <w:rFonts w:asciiTheme="majorHAnsi" w:hAnsiTheme="majorHAnsi" w:cs="Arial"/>
          <w:sz w:val="24"/>
          <w:szCs w:val="24"/>
        </w:rPr>
        <w:t xml:space="preserve">y </w:t>
      </w:r>
      <w:r w:rsidR="00170A61" w:rsidRPr="005E214E">
        <w:rPr>
          <w:rFonts w:asciiTheme="majorHAnsi" w:hAnsiTheme="majorHAnsi" w:cs="Arial"/>
          <w:sz w:val="24"/>
          <w:szCs w:val="24"/>
        </w:rPr>
        <w:t xml:space="preserve">ministerio público). </w:t>
      </w:r>
    </w:p>
    <w:p w14:paraId="0C7BE3DB" w14:textId="07E0FC56" w:rsidR="00386C4D" w:rsidRDefault="00386C4D" w:rsidP="003F40C5">
      <w:pPr>
        <w:pStyle w:val="Cuadrculamedia1-nfasis21"/>
        <w:spacing w:after="0" w:line="240" w:lineRule="auto"/>
        <w:ind w:left="0"/>
        <w:jc w:val="both"/>
        <w:rPr>
          <w:rFonts w:asciiTheme="majorHAnsi" w:hAnsiTheme="majorHAnsi" w:cs="Arial"/>
          <w:sz w:val="24"/>
          <w:szCs w:val="24"/>
        </w:rPr>
      </w:pPr>
    </w:p>
    <w:p w14:paraId="5D3D366C" w14:textId="105DBC82" w:rsidR="00386C4D" w:rsidRDefault="00386C4D" w:rsidP="003F40C5">
      <w:pPr>
        <w:pStyle w:val="Cuadrculamedia1-nfasis21"/>
        <w:spacing w:after="0" w:line="240" w:lineRule="auto"/>
        <w:ind w:left="0"/>
        <w:jc w:val="both"/>
        <w:rPr>
          <w:rFonts w:asciiTheme="majorHAnsi" w:hAnsiTheme="majorHAnsi" w:cs="Arial"/>
          <w:sz w:val="24"/>
          <w:szCs w:val="24"/>
        </w:rPr>
      </w:pPr>
    </w:p>
    <w:p w14:paraId="77157095" w14:textId="0C8D0E86" w:rsidR="00386C4D" w:rsidRDefault="00386C4D" w:rsidP="003F40C5">
      <w:pPr>
        <w:pStyle w:val="Cuadrculamedia1-nfasis21"/>
        <w:spacing w:after="0" w:line="240" w:lineRule="auto"/>
        <w:ind w:left="0"/>
        <w:jc w:val="both"/>
        <w:rPr>
          <w:rFonts w:asciiTheme="majorHAnsi" w:hAnsiTheme="majorHAnsi" w:cs="Arial"/>
          <w:sz w:val="24"/>
          <w:szCs w:val="24"/>
        </w:rPr>
      </w:pPr>
    </w:p>
    <w:p w14:paraId="1A72F10A" w14:textId="4695D59D" w:rsidR="00386C4D" w:rsidRDefault="00386C4D" w:rsidP="003F40C5">
      <w:pPr>
        <w:pStyle w:val="Cuadrculamedia1-nfasis21"/>
        <w:spacing w:after="0" w:line="240" w:lineRule="auto"/>
        <w:ind w:left="0"/>
        <w:jc w:val="both"/>
        <w:rPr>
          <w:rFonts w:asciiTheme="majorHAnsi" w:hAnsiTheme="majorHAnsi" w:cs="Arial"/>
          <w:sz w:val="24"/>
          <w:szCs w:val="24"/>
        </w:rPr>
      </w:pPr>
    </w:p>
    <w:p w14:paraId="7D30BEB9" w14:textId="5211C57A" w:rsidR="00386C4D" w:rsidRDefault="00386C4D" w:rsidP="003F40C5">
      <w:pPr>
        <w:pStyle w:val="Cuadrculamedia1-nfasis21"/>
        <w:spacing w:after="0" w:line="240" w:lineRule="auto"/>
        <w:ind w:left="0"/>
        <w:jc w:val="both"/>
        <w:rPr>
          <w:rFonts w:asciiTheme="majorHAnsi" w:hAnsiTheme="majorHAnsi" w:cs="Arial"/>
          <w:sz w:val="24"/>
          <w:szCs w:val="24"/>
        </w:rPr>
      </w:pPr>
    </w:p>
    <w:p w14:paraId="0ED1C658" w14:textId="20B2DC76" w:rsidR="00386C4D" w:rsidRDefault="00386C4D" w:rsidP="003F40C5">
      <w:pPr>
        <w:pStyle w:val="Cuadrculamedia1-nfasis21"/>
        <w:spacing w:after="0" w:line="240" w:lineRule="auto"/>
        <w:ind w:left="0"/>
        <w:jc w:val="both"/>
        <w:rPr>
          <w:rFonts w:asciiTheme="majorHAnsi" w:hAnsiTheme="majorHAnsi" w:cs="Arial"/>
          <w:sz w:val="24"/>
          <w:szCs w:val="24"/>
        </w:rPr>
      </w:pPr>
    </w:p>
    <w:p w14:paraId="08C06114" w14:textId="5758F74F" w:rsidR="00386C4D" w:rsidRDefault="00386C4D" w:rsidP="003F40C5">
      <w:pPr>
        <w:pStyle w:val="Cuadrculamedia1-nfasis21"/>
        <w:spacing w:after="0" w:line="240" w:lineRule="auto"/>
        <w:ind w:left="0"/>
        <w:jc w:val="both"/>
        <w:rPr>
          <w:rFonts w:asciiTheme="majorHAnsi" w:hAnsiTheme="majorHAnsi" w:cs="Arial"/>
          <w:sz w:val="24"/>
          <w:szCs w:val="24"/>
        </w:rPr>
      </w:pPr>
    </w:p>
    <w:p w14:paraId="0B1470A3" w14:textId="2A31D603" w:rsidR="00386C4D" w:rsidRDefault="00386C4D" w:rsidP="003F40C5">
      <w:pPr>
        <w:pStyle w:val="Cuadrculamedia1-nfasis21"/>
        <w:spacing w:after="0" w:line="240" w:lineRule="auto"/>
        <w:ind w:left="0"/>
        <w:jc w:val="both"/>
        <w:rPr>
          <w:rFonts w:asciiTheme="majorHAnsi" w:hAnsiTheme="majorHAnsi" w:cs="Arial"/>
          <w:sz w:val="24"/>
          <w:szCs w:val="24"/>
        </w:rPr>
      </w:pPr>
    </w:p>
    <w:p w14:paraId="54EBFECA" w14:textId="7C9A7315" w:rsidR="00386C4D" w:rsidRDefault="00386C4D" w:rsidP="003F40C5">
      <w:pPr>
        <w:pStyle w:val="Cuadrculamedia1-nfasis21"/>
        <w:spacing w:after="0" w:line="240" w:lineRule="auto"/>
        <w:ind w:left="0"/>
        <w:jc w:val="both"/>
        <w:rPr>
          <w:rFonts w:asciiTheme="majorHAnsi" w:hAnsiTheme="majorHAnsi" w:cs="Arial"/>
          <w:sz w:val="24"/>
          <w:szCs w:val="24"/>
        </w:rPr>
      </w:pPr>
    </w:p>
    <w:p w14:paraId="4C3DD574" w14:textId="7B32A179" w:rsidR="00386C4D" w:rsidRDefault="00386C4D" w:rsidP="003F40C5">
      <w:pPr>
        <w:pStyle w:val="Cuadrculamedia1-nfasis21"/>
        <w:spacing w:after="0" w:line="240" w:lineRule="auto"/>
        <w:ind w:left="0"/>
        <w:jc w:val="both"/>
        <w:rPr>
          <w:rFonts w:asciiTheme="majorHAnsi" w:hAnsiTheme="majorHAnsi" w:cs="Arial"/>
          <w:sz w:val="24"/>
          <w:szCs w:val="24"/>
        </w:rPr>
      </w:pPr>
    </w:p>
    <w:p w14:paraId="60699318" w14:textId="4D3CEE8A" w:rsidR="00386C4D" w:rsidRDefault="00386C4D" w:rsidP="003F40C5">
      <w:pPr>
        <w:pStyle w:val="Cuadrculamedia1-nfasis21"/>
        <w:spacing w:after="0" w:line="240" w:lineRule="auto"/>
        <w:ind w:left="0"/>
        <w:jc w:val="both"/>
        <w:rPr>
          <w:rFonts w:asciiTheme="majorHAnsi" w:hAnsiTheme="majorHAnsi" w:cs="Arial"/>
          <w:sz w:val="24"/>
          <w:szCs w:val="24"/>
        </w:rPr>
      </w:pPr>
    </w:p>
    <w:p w14:paraId="3597F069" w14:textId="20EEC28A" w:rsidR="00386C4D" w:rsidRDefault="00386C4D" w:rsidP="003F40C5">
      <w:pPr>
        <w:pStyle w:val="Cuadrculamedia1-nfasis21"/>
        <w:spacing w:after="0" w:line="240" w:lineRule="auto"/>
        <w:ind w:left="0"/>
        <w:jc w:val="both"/>
        <w:rPr>
          <w:rFonts w:asciiTheme="majorHAnsi" w:hAnsiTheme="majorHAnsi" w:cs="Arial"/>
          <w:sz w:val="24"/>
          <w:szCs w:val="24"/>
        </w:rPr>
      </w:pPr>
    </w:p>
    <w:p w14:paraId="02A9EC2C" w14:textId="4BD604C3" w:rsidR="00386C4D" w:rsidRDefault="00386C4D" w:rsidP="003F40C5">
      <w:pPr>
        <w:pStyle w:val="Cuadrculamedia1-nfasis21"/>
        <w:spacing w:after="0" w:line="240" w:lineRule="auto"/>
        <w:ind w:left="0"/>
        <w:jc w:val="both"/>
        <w:rPr>
          <w:rFonts w:asciiTheme="majorHAnsi" w:hAnsiTheme="majorHAnsi" w:cs="Arial"/>
          <w:sz w:val="24"/>
          <w:szCs w:val="24"/>
        </w:rPr>
      </w:pPr>
    </w:p>
    <w:p w14:paraId="6C819032" w14:textId="4185B976" w:rsidR="00386C4D" w:rsidRDefault="00386C4D" w:rsidP="003F40C5">
      <w:pPr>
        <w:pStyle w:val="Cuadrculamedia1-nfasis21"/>
        <w:spacing w:after="0" w:line="240" w:lineRule="auto"/>
        <w:ind w:left="0"/>
        <w:jc w:val="both"/>
        <w:rPr>
          <w:rFonts w:asciiTheme="majorHAnsi" w:hAnsiTheme="majorHAnsi" w:cs="Arial"/>
          <w:sz w:val="24"/>
          <w:szCs w:val="24"/>
        </w:rPr>
      </w:pPr>
    </w:p>
    <w:p w14:paraId="4228C1E7" w14:textId="30A3932F" w:rsidR="00386C4D" w:rsidRDefault="00386C4D" w:rsidP="003F40C5">
      <w:pPr>
        <w:pStyle w:val="Cuadrculamedia1-nfasis21"/>
        <w:spacing w:after="0" w:line="240" w:lineRule="auto"/>
        <w:ind w:left="0"/>
        <w:jc w:val="both"/>
        <w:rPr>
          <w:rFonts w:asciiTheme="majorHAnsi" w:hAnsiTheme="majorHAnsi" w:cs="Arial"/>
          <w:sz w:val="24"/>
          <w:szCs w:val="24"/>
        </w:rPr>
      </w:pPr>
    </w:p>
    <w:p w14:paraId="0E524ADE" w14:textId="060EE37E" w:rsidR="00386C4D" w:rsidRDefault="00386C4D" w:rsidP="003F40C5">
      <w:pPr>
        <w:pStyle w:val="Cuadrculamedia1-nfasis21"/>
        <w:spacing w:after="0" w:line="240" w:lineRule="auto"/>
        <w:ind w:left="0"/>
        <w:jc w:val="both"/>
        <w:rPr>
          <w:rFonts w:asciiTheme="majorHAnsi" w:hAnsiTheme="majorHAnsi" w:cs="Arial"/>
          <w:sz w:val="24"/>
          <w:szCs w:val="24"/>
        </w:rPr>
      </w:pPr>
    </w:p>
    <w:p w14:paraId="7A605446" w14:textId="77777777" w:rsidR="00A4492E" w:rsidRPr="005E214E" w:rsidRDefault="00A4492E" w:rsidP="00DC3FA8">
      <w:pPr>
        <w:pStyle w:val="Cuadrculamedia1-nfasis21"/>
        <w:spacing w:after="0" w:line="240" w:lineRule="auto"/>
        <w:ind w:left="0"/>
        <w:jc w:val="both"/>
        <w:rPr>
          <w:rFonts w:asciiTheme="majorHAnsi" w:hAnsiTheme="majorHAnsi" w:cs="Arial"/>
          <w:sz w:val="24"/>
          <w:szCs w:val="24"/>
        </w:rPr>
      </w:pPr>
    </w:p>
    <w:tbl>
      <w:tblPr>
        <w:tblStyle w:val="Tablaconcuadrculaclara"/>
        <w:tblpPr w:leftFromText="141" w:rightFromText="141" w:vertAnchor="page" w:horzAnchor="page" w:tblpX="1131" w:tblpY="2080"/>
        <w:tblW w:w="10774" w:type="dxa"/>
        <w:tblLook w:val="04A0" w:firstRow="1" w:lastRow="0" w:firstColumn="1" w:lastColumn="0" w:noHBand="0" w:noVBand="1"/>
      </w:tblPr>
      <w:tblGrid>
        <w:gridCol w:w="10774"/>
      </w:tblGrid>
      <w:tr w:rsidR="00386C4D" w:rsidRPr="00FF4F7F" w14:paraId="6F97BEC7" w14:textId="77777777" w:rsidTr="00386C4D">
        <w:tc>
          <w:tcPr>
            <w:tcW w:w="10774" w:type="dxa"/>
          </w:tcPr>
          <w:p w14:paraId="3D2A478A" w14:textId="77777777" w:rsidR="00386C4D" w:rsidRPr="005E214E" w:rsidRDefault="00386C4D" w:rsidP="00386C4D">
            <w:pPr>
              <w:shd w:val="clear" w:color="auto" w:fill="BFBFBF"/>
              <w:rPr>
                <w:rFonts w:asciiTheme="majorHAnsi" w:hAnsiTheme="majorHAnsi" w:cs="Arial"/>
                <w:b/>
              </w:rPr>
            </w:pPr>
            <w:r w:rsidRPr="005E214E">
              <w:rPr>
                <w:rFonts w:asciiTheme="majorHAnsi" w:hAnsiTheme="majorHAnsi" w:cs="Arial"/>
                <w:b/>
              </w:rPr>
              <w:lastRenderedPageBreak/>
              <w:t xml:space="preserve">                                                     5. TEMÁTICAS O CONTENIDOS</w:t>
            </w:r>
          </w:p>
          <w:p w14:paraId="7E2F1724" w14:textId="77777777" w:rsidR="00386C4D" w:rsidRDefault="00386C4D" w:rsidP="00386C4D">
            <w:pPr>
              <w:widowControl w:val="0"/>
              <w:tabs>
                <w:tab w:val="left" w:pos="602"/>
              </w:tabs>
              <w:autoSpaceDE w:val="0"/>
              <w:autoSpaceDN w:val="0"/>
              <w:ind w:left="602"/>
              <w:rPr>
                <w:rFonts w:asciiTheme="majorHAnsi" w:hAnsiTheme="majorHAnsi" w:cstheme="majorHAnsi"/>
                <w:b/>
                <w:lang w:eastAsia="es-ES"/>
              </w:rPr>
            </w:pPr>
          </w:p>
        </w:tc>
      </w:tr>
      <w:tr w:rsidR="00FF4F7F" w:rsidRPr="00FF4F7F" w14:paraId="2E329681" w14:textId="77777777" w:rsidTr="00386C4D">
        <w:tc>
          <w:tcPr>
            <w:tcW w:w="10774" w:type="dxa"/>
          </w:tcPr>
          <w:p w14:paraId="25E90AC9" w14:textId="77777777" w:rsidR="00386C4D" w:rsidRDefault="00386C4D" w:rsidP="00386C4D">
            <w:pPr>
              <w:widowControl w:val="0"/>
              <w:tabs>
                <w:tab w:val="left" w:pos="602"/>
              </w:tabs>
              <w:autoSpaceDE w:val="0"/>
              <w:autoSpaceDN w:val="0"/>
              <w:ind w:left="602"/>
              <w:rPr>
                <w:rFonts w:asciiTheme="majorHAnsi" w:hAnsiTheme="majorHAnsi" w:cstheme="majorHAnsi"/>
                <w:b/>
                <w:lang w:eastAsia="es-ES"/>
              </w:rPr>
            </w:pPr>
          </w:p>
          <w:p w14:paraId="3FAECC20" w14:textId="47370C8B" w:rsidR="00FF4F7F" w:rsidRPr="00FF4F7F" w:rsidRDefault="00FF4F7F" w:rsidP="00386C4D">
            <w:pPr>
              <w:widowControl w:val="0"/>
              <w:numPr>
                <w:ilvl w:val="0"/>
                <w:numId w:val="20"/>
              </w:numPr>
              <w:tabs>
                <w:tab w:val="left" w:pos="602"/>
              </w:tabs>
              <w:autoSpaceDE w:val="0"/>
              <w:autoSpaceDN w:val="0"/>
              <w:rPr>
                <w:rFonts w:asciiTheme="majorHAnsi" w:hAnsiTheme="majorHAnsi" w:cstheme="majorHAnsi"/>
                <w:b/>
                <w:lang w:eastAsia="es-ES"/>
              </w:rPr>
            </w:pPr>
            <w:r w:rsidRPr="00FF4F7F">
              <w:rPr>
                <w:rFonts w:asciiTheme="majorHAnsi" w:hAnsiTheme="majorHAnsi" w:cstheme="majorHAnsi"/>
                <w:b/>
                <w:lang w:eastAsia="es-ES"/>
              </w:rPr>
              <w:t>CONCEPTO DE</w:t>
            </w:r>
            <w:r w:rsidRPr="00FF4F7F">
              <w:rPr>
                <w:rFonts w:asciiTheme="majorHAnsi" w:hAnsiTheme="majorHAnsi" w:cstheme="majorHAnsi"/>
                <w:b/>
                <w:spacing w:val="-3"/>
                <w:lang w:eastAsia="es-ES"/>
              </w:rPr>
              <w:t xml:space="preserve"> </w:t>
            </w:r>
            <w:r w:rsidRPr="00FF4F7F">
              <w:rPr>
                <w:rFonts w:asciiTheme="majorHAnsi" w:hAnsiTheme="majorHAnsi" w:cstheme="majorHAnsi"/>
                <w:b/>
                <w:lang w:eastAsia="es-ES"/>
              </w:rPr>
              <w:t>PROCESO</w:t>
            </w:r>
          </w:p>
          <w:p w14:paraId="2FD9CBA8" w14:textId="77777777" w:rsidR="00FF4F7F" w:rsidRPr="00FF4F7F" w:rsidRDefault="00FF4F7F" w:rsidP="00386C4D">
            <w:pPr>
              <w:widowControl w:val="0"/>
              <w:numPr>
                <w:ilvl w:val="1"/>
                <w:numId w:val="20"/>
              </w:numPr>
              <w:tabs>
                <w:tab w:val="left" w:pos="1657"/>
                <w:tab w:val="left" w:pos="1658"/>
              </w:tabs>
              <w:autoSpaceDE w:val="0"/>
              <w:autoSpaceDN w:val="0"/>
              <w:ind w:hanging="697"/>
              <w:rPr>
                <w:rFonts w:asciiTheme="majorHAnsi" w:hAnsiTheme="majorHAnsi" w:cstheme="majorHAnsi"/>
                <w:lang w:eastAsia="es-ES"/>
              </w:rPr>
            </w:pPr>
            <w:r w:rsidRPr="00FF4F7F">
              <w:rPr>
                <w:rFonts w:asciiTheme="majorHAnsi" w:hAnsiTheme="majorHAnsi" w:cstheme="majorHAnsi"/>
                <w:lang w:eastAsia="es-ES"/>
              </w:rPr>
              <w:t>Evolución</w:t>
            </w:r>
          </w:p>
          <w:p w14:paraId="5166B250" w14:textId="77777777" w:rsidR="00FF4F7F" w:rsidRPr="00FF4F7F" w:rsidRDefault="00FF4F7F" w:rsidP="00386C4D">
            <w:pPr>
              <w:widowControl w:val="0"/>
              <w:numPr>
                <w:ilvl w:val="1"/>
                <w:numId w:val="20"/>
              </w:numPr>
              <w:tabs>
                <w:tab w:val="left" w:pos="1657"/>
                <w:tab w:val="left" w:pos="1658"/>
              </w:tabs>
              <w:autoSpaceDE w:val="0"/>
              <w:autoSpaceDN w:val="0"/>
              <w:ind w:hanging="697"/>
              <w:rPr>
                <w:rFonts w:asciiTheme="majorHAnsi" w:hAnsiTheme="majorHAnsi" w:cstheme="majorHAnsi"/>
                <w:lang w:eastAsia="es-ES"/>
              </w:rPr>
            </w:pPr>
            <w:r w:rsidRPr="00FF4F7F">
              <w:rPr>
                <w:rFonts w:asciiTheme="majorHAnsi" w:hAnsiTheme="majorHAnsi" w:cstheme="majorHAnsi"/>
                <w:lang w:eastAsia="es-ES"/>
              </w:rPr>
              <w:t>Concepto Moderno de</w:t>
            </w:r>
            <w:r w:rsidRPr="00FF4F7F">
              <w:rPr>
                <w:rFonts w:asciiTheme="majorHAnsi" w:hAnsiTheme="majorHAnsi" w:cstheme="majorHAnsi"/>
                <w:spacing w:val="-4"/>
                <w:lang w:eastAsia="es-ES"/>
              </w:rPr>
              <w:t xml:space="preserve"> </w:t>
            </w:r>
            <w:r w:rsidRPr="00FF4F7F">
              <w:rPr>
                <w:rFonts w:asciiTheme="majorHAnsi" w:hAnsiTheme="majorHAnsi" w:cstheme="majorHAnsi"/>
                <w:lang w:eastAsia="es-ES"/>
              </w:rPr>
              <w:t>Proceso</w:t>
            </w:r>
          </w:p>
          <w:p w14:paraId="6BD38F6F" w14:textId="77777777" w:rsidR="00FF4F7F" w:rsidRPr="00FF4F7F" w:rsidRDefault="00FF4F7F" w:rsidP="00386C4D">
            <w:pPr>
              <w:rPr>
                <w:rFonts w:asciiTheme="majorHAnsi" w:hAnsiTheme="majorHAnsi" w:cstheme="majorHAnsi"/>
                <w:lang w:eastAsia="es-ES"/>
              </w:rPr>
            </w:pPr>
          </w:p>
        </w:tc>
      </w:tr>
      <w:tr w:rsidR="00FF4F7F" w:rsidRPr="00FF4F7F" w14:paraId="4B721470" w14:textId="77777777" w:rsidTr="00386C4D">
        <w:tc>
          <w:tcPr>
            <w:tcW w:w="10774" w:type="dxa"/>
          </w:tcPr>
          <w:p w14:paraId="65C48C08" w14:textId="77777777" w:rsidR="00FF4F7F" w:rsidRPr="00FF4F7F" w:rsidRDefault="00FF4F7F" w:rsidP="00386C4D">
            <w:pPr>
              <w:numPr>
                <w:ilvl w:val="0"/>
                <w:numId w:val="20"/>
              </w:numPr>
              <w:rPr>
                <w:rFonts w:asciiTheme="majorHAnsi" w:hAnsiTheme="majorHAnsi" w:cstheme="majorHAnsi"/>
                <w:b/>
                <w:lang w:eastAsia="es-ES" w:bidi="es-CO"/>
              </w:rPr>
            </w:pPr>
            <w:r w:rsidRPr="00FF4F7F">
              <w:rPr>
                <w:rFonts w:asciiTheme="majorHAnsi" w:hAnsiTheme="majorHAnsi" w:cstheme="majorHAnsi"/>
                <w:b/>
                <w:lang w:eastAsia="es-ES" w:bidi="es-CO"/>
              </w:rPr>
              <w:t>SISTEMAS PROCESALES Y ESQUEMAS DEL PROCESO</w:t>
            </w:r>
          </w:p>
          <w:p w14:paraId="403CFF73" w14:textId="77777777" w:rsidR="00FF4F7F" w:rsidRPr="00FF4F7F" w:rsidRDefault="00FF4F7F" w:rsidP="00386C4D">
            <w:pPr>
              <w:numPr>
                <w:ilvl w:val="1"/>
                <w:numId w:val="20"/>
              </w:numPr>
              <w:rPr>
                <w:rFonts w:asciiTheme="majorHAnsi" w:hAnsiTheme="majorHAnsi" w:cstheme="majorHAnsi"/>
                <w:lang w:eastAsia="es-ES" w:bidi="es-CO"/>
              </w:rPr>
            </w:pPr>
            <w:r w:rsidRPr="00FF4F7F">
              <w:rPr>
                <w:rFonts w:asciiTheme="majorHAnsi" w:hAnsiTheme="majorHAnsi" w:cstheme="majorHAnsi"/>
                <w:lang w:eastAsia="es-ES" w:bidi="es-CO"/>
              </w:rPr>
              <w:t>Inquisitivo</w:t>
            </w:r>
          </w:p>
          <w:p w14:paraId="7F20B1DF" w14:textId="77777777" w:rsidR="00FF4F7F" w:rsidRPr="00FF4F7F" w:rsidRDefault="00FF4F7F" w:rsidP="00386C4D">
            <w:pPr>
              <w:numPr>
                <w:ilvl w:val="1"/>
                <w:numId w:val="20"/>
              </w:numPr>
              <w:rPr>
                <w:rFonts w:asciiTheme="majorHAnsi" w:hAnsiTheme="majorHAnsi" w:cstheme="majorHAnsi"/>
                <w:lang w:eastAsia="es-ES" w:bidi="es-CO"/>
              </w:rPr>
            </w:pPr>
            <w:r w:rsidRPr="00FF4F7F">
              <w:rPr>
                <w:rFonts w:asciiTheme="majorHAnsi" w:hAnsiTheme="majorHAnsi" w:cstheme="majorHAnsi"/>
                <w:lang w:eastAsia="es-ES" w:bidi="es-CO"/>
              </w:rPr>
              <w:t>Acusatorio</w:t>
            </w:r>
          </w:p>
          <w:p w14:paraId="2454A2B6" w14:textId="77777777" w:rsidR="00FF4F7F" w:rsidRPr="00FF4F7F" w:rsidRDefault="00FF4F7F" w:rsidP="00386C4D">
            <w:pPr>
              <w:numPr>
                <w:ilvl w:val="1"/>
                <w:numId w:val="20"/>
              </w:numPr>
              <w:rPr>
                <w:rFonts w:asciiTheme="majorHAnsi" w:hAnsiTheme="majorHAnsi" w:cstheme="majorHAnsi"/>
                <w:lang w:eastAsia="es-ES" w:bidi="es-CO"/>
              </w:rPr>
            </w:pPr>
            <w:r w:rsidRPr="00FF4F7F">
              <w:rPr>
                <w:rFonts w:asciiTheme="majorHAnsi" w:hAnsiTheme="majorHAnsi" w:cstheme="majorHAnsi"/>
                <w:lang w:eastAsia="es-ES" w:bidi="es-CO"/>
              </w:rPr>
              <w:t>Mixto</w:t>
            </w:r>
          </w:p>
          <w:p w14:paraId="5DF2ECC4" w14:textId="77777777" w:rsidR="00FF4F7F" w:rsidRPr="00FF4F7F" w:rsidRDefault="00FF4F7F" w:rsidP="00386C4D">
            <w:pPr>
              <w:ind w:left="142"/>
              <w:rPr>
                <w:rFonts w:asciiTheme="majorHAnsi" w:hAnsiTheme="majorHAnsi" w:cstheme="majorHAnsi"/>
                <w:lang w:eastAsia="es-ES"/>
              </w:rPr>
            </w:pPr>
          </w:p>
        </w:tc>
      </w:tr>
      <w:tr w:rsidR="00FF4F7F" w:rsidRPr="00FF4F7F" w14:paraId="7F2016BE" w14:textId="77777777" w:rsidTr="00386C4D">
        <w:tc>
          <w:tcPr>
            <w:tcW w:w="10774" w:type="dxa"/>
          </w:tcPr>
          <w:p w14:paraId="7286E27A" w14:textId="77777777" w:rsidR="00FF4F7F" w:rsidRPr="00FF4F7F" w:rsidRDefault="00FF4F7F" w:rsidP="00386C4D">
            <w:pPr>
              <w:numPr>
                <w:ilvl w:val="0"/>
                <w:numId w:val="20"/>
              </w:numPr>
              <w:rPr>
                <w:rFonts w:asciiTheme="majorHAnsi" w:hAnsiTheme="majorHAnsi" w:cstheme="majorHAnsi"/>
                <w:b/>
                <w:lang w:eastAsia="es-ES" w:bidi="es-CO"/>
              </w:rPr>
            </w:pPr>
            <w:r w:rsidRPr="00FF4F7F">
              <w:rPr>
                <w:rFonts w:asciiTheme="majorHAnsi" w:hAnsiTheme="majorHAnsi" w:cstheme="majorHAnsi"/>
                <w:b/>
                <w:lang w:eastAsia="es-ES" w:bidi="es-CO"/>
              </w:rPr>
              <w:t>ESTRUCTURA DEL PROCESO PENAL COLOMBIANO</w:t>
            </w:r>
          </w:p>
          <w:p w14:paraId="3BAB61B3" w14:textId="77777777" w:rsidR="00FF4F7F" w:rsidRPr="00FF4F7F" w:rsidRDefault="00FF4F7F" w:rsidP="00386C4D">
            <w:pPr>
              <w:numPr>
                <w:ilvl w:val="1"/>
                <w:numId w:val="20"/>
              </w:numPr>
              <w:rPr>
                <w:rFonts w:asciiTheme="majorHAnsi" w:hAnsiTheme="majorHAnsi" w:cstheme="majorHAnsi"/>
                <w:lang w:eastAsia="es-ES" w:bidi="es-CO"/>
              </w:rPr>
            </w:pPr>
            <w:r w:rsidRPr="00FF4F7F">
              <w:rPr>
                <w:rFonts w:asciiTheme="majorHAnsi" w:hAnsiTheme="majorHAnsi" w:cstheme="majorHAnsi"/>
                <w:lang w:eastAsia="es-ES" w:bidi="es-CO"/>
              </w:rPr>
              <w:t>Antecedentes</w:t>
            </w:r>
          </w:p>
          <w:p w14:paraId="38CFE1C6" w14:textId="77777777" w:rsidR="00FF4F7F" w:rsidRPr="00FF4F7F" w:rsidRDefault="00FF4F7F" w:rsidP="00386C4D">
            <w:pPr>
              <w:numPr>
                <w:ilvl w:val="2"/>
                <w:numId w:val="20"/>
              </w:numPr>
              <w:rPr>
                <w:rFonts w:asciiTheme="majorHAnsi" w:hAnsiTheme="majorHAnsi" w:cstheme="majorHAnsi"/>
                <w:lang w:eastAsia="es-ES" w:bidi="es-CO"/>
              </w:rPr>
            </w:pPr>
            <w:r w:rsidRPr="00FF4F7F">
              <w:rPr>
                <w:rFonts w:asciiTheme="majorHAnsi" w:hAnsiTheme="majorHAnsi" w:cstheme="majorHAnsi"/>
                <w:lang w:eastAsia="es-ES" w:bidi="es-CO"/>
              </w:rPr>
              <w:t>Estructura del Proceso antes de la Constitución de 1991</w:t>
            </w:r>
          </w:p>
          <w:p w14:paraId="1A15494A" w14:textId="77777777" w:rsidR="00FF4F7F" w:rsidRPr="00FF4F7F" w:rsidRDefault="00FF4F7F" w:rsidP="00386C4D">
            <w:pPr>
              <w:numPr>
                <w:ilvl w:val="2"/>
                <w:numId w:val="20"/>
              </w:numPr>
              <w:rPr>
                <w:rFonts w:asciiTheme="majorHAnsi" w:hAnsiTheme="majorHAnsi" w:cstheme="majorHAnsi"/>
                <w:lang w:eastAsia="es-ES" w:bidi="es-CO"/>
              </w:rPr>
            </w:pPr>
            <w:r w:rsidRPr="00FF4F7F">
              <w:rPr>
                <w:rFonts w:asciiTheme="majorHAnsi" w:hAnsiTheme="majorHAnsi" w:cstheme="majorHAnsi"/>
                <w:lang w:eastAsia="es-ES" w:bidi="es-CO"/>
              </w:rPr>
              <w:t>Estructura Constitucional del Proceso en la Constitución de 1991</w:t>
            </w:r>
          </w:p>
          <w:p w14:paraId="3DA965FD" w14:textId="77777777" w:rsidR="00FF4F7F" w:rsidRPr="00FF4F7F" w:rsidRDefault="00FF4F7F" w:rsidP="00386C4D">
            <w:pPr>
              <w:numPr>
                <w:ilvl w:val="2"/>
                <w:numId w:val="20"/>
              </w:numPr>
              <w:rPr>
                <w:rFonts w:asciiTheme="majorHAnsi" w:hAnsiTheme="majorHAnsi" w:cstheme="majorHAnsi"/>
                <w:lang w:eastAsia="es-ES" w:bidi="es-CO"/>
              </w:rPr>
            </w:pPr>
            <w:r w:rsidRPr="00FF4F7F">
              <w:rPr>
                <w:rFonts w:asciiTheme="majorHAnsi" w:hAnsiTheme="majorHAnsi" w:cstheme="majorHAnsi"/>
                <w:lang w:eastAsia="es-ES" w:bidi="es-CO"/>
              </w:rPr>
              <w:t>Estructura del Proceso en el decreto 2700 de 1991</w:t>
            </w:r>
          </w:p>
          <w:p w14:paraId="26BA670A" w14:textId="77777777" w:rsidR="00FF4F7F" w:rsidRPr="00FF4F7F" w:rsidRDefault="00FF4F7F" w:rsidP="00386C4D">
            <w:pPr>
              <w:numPr>
                <w:ilvl w:val="2"/>
                <w:numId w:val="20"/>
              </w:numPr>
              <w:rPr>
                <w:rFonts w:asciiTheme="majorHAnsi" w:hAnsiTheme="majorHAnsi" w:cstheme="majorHAnsi"/>
                <w:lang w:eastAsia="es-ES" w:bidi="es-CO"/>
              </w:rPr>
            </w:pPr>
            <w:r w:rsidRPr="00FF4F7F">
              <w:rPr>
                <w:rFonts w:asciiTheme="majorHAnsi" w:hAnsiTheme="majorHAnsi" w:cstheme="majorHAnsi"/>
                <w:lang w:eastAsia="es-ES" w:bidi="es-CO"/>
              </w:rPr>
              <w:t>Estructura del Proceso en la Ley 600 de 2000</w:t>
            </w:r>
          </w:p>
          <w:p w14:paraId="580FB316" w14:textId="77777777" w:rsidR="00FF4F7F" w:rsidRPr="00FF4F7F" w:rsidRDefault="00FF4F7F" w:rsidP="00386C4D">
            <w:pPr>
              <w:numPr>
                <w:ilvl w:val="1"/>
                <w:numId w:val="20"/>
              </w:numPr>
              <w:rPr>
                <w:rFonts w:asciiTheme="majorHAnsi" w:hAnsiTheme="majorHAnsi" w:cstheme="majorHAnsi"/>
                <w:lang w:eastAsia="es-ES" w:bidi="es-CO"/>
              </w:rPr>
            </w:pPr>
            <w:r w:rsidRPr="00FF4F7F">
              <w:rPr>
                <w:rFonts w:asciiTheme="majorHAnsi" w:hAnsiTheme="majorHAnsi" w:cstheme="majorHAnsi"/>
                <w:lang w:eastAsia="es-ES" w:bidi="es-CO"/>
              </w:rPr>
              <w:t>Estructura Actual del Proceso</w:t>
            </w:r>
          </w:p>
          <w:p w14:paraId="6D5645A1" w14:textId="77777777" w:rsidR="00FF4F7F" w:rsidRPr="00FF4F7F" w:rsidRDefault="00FF4F7F" w:rsidP="00386C4D">
            <w:pPr>
              <w:numPr>
                <w:ilvl w:val="1"/>
                <w:numId w:val="20"/>
              </w:numPr>
              <w:rPr>
                <w:rFonts w:asciiTheme="majorHAnsi" w:hAnsiTheme="majorHAnsi" w:cstheme="majorHAnsi"/>
                <w:lang w:eastAsia="es-ES" w:bidi="es-CO"/>
              </w:rPr>
            </w:pPr>
            <w:r w:rsidRPr="00FF4F7F">
              <w:rPr>
                <w:rFonts w:asciiTheme="majorHAnsi" w:hAnsiTheme="majorHAnsi" w:cstheme="majorHAnsi"/>
                <w:lang w:eastAsia="es-ES" w:bidi="es-CO"/>
              </w:rPr>
              <w:t>Estructura del Proceso en el Acto legislativo 3 de 2002</w:t>
            </w:r>
          </w:p>
          <w:p w14:paraId="21BA2E3F" w14:textId="77777777" w:rsidR="00FF4F7F" w:rsidRPr="00FF4F7F" w:rsidRDefault="00FF4F7F" w:rsidP="00386C4D">
            <w:pPr>
              <w:numPr>
                <w:ilvl w:val="1"/>
                <w:numId w:val="20"/>
              </w:numPr>
              <w:rPr>
                <w:rFonts w:asciiTheme="majorHAnsi" w:hAnsiTheme="majorHAnsi" w:cstheme="majorHAnsi"/>
                <w:lang w:eastAsia="es-ES" w:bidi="es-CO"/>
              </w:rPr>
            </w:pPr>
            <w:r w:rsidRPr="00FF4F7F">
              <w:rPr>
                <w:rFonts w:asciiTheme="majorHAnsi" w:hAnsiTheme="majorHAnsi" w:cstheme="majorHAnsi"/>
                <w:lang w:eastAsia="es-ES" w:bidi="es-CO"/>
              </w:rPr>
              <w:t>Estructura Legal del Nuevo Proceso</w:t>
            </w:r>
          </w:p>
          <w:p w14:paraId="7E8CEAFE" w14:textId="77777777" w:rsidR="00FF4F7F" w:rsidRPr="00FF4F7F" w:rsidRDefault="00FF4F7F" w:rsidP="00386C4D">
            <w:pPr>
              <w:ind w:left="142"/>
              <w:rPr>
                <w:rFonts w:asciiTheme="majorHAnsi" w:hAnsiTheme="majorHAnsi" w:cstheme="majorHAnsi"/>
                <w:lang w:eastAsia="es-ES"/>
              </w:rPr>
            </w:pPr>
          </w:p>
        </w:tc>
      </w:tr>
      <w:tr w:rsidR="00FF4F7F" w:rsidRPr="007A4EB5" w14:paraId="24A7FD58" w14:textId="77777777" w:rsidTr="00386C4D">
        <w:tc>
          <w:tcPr>
            <w:tcW w:w="10774" w:type="dxa"/>
          </w:tcPr>
          <w:p w14:paraId="0D157CA0" w14:textId="77777777" w:rsidR="00FF4F7F" w:rsidRPr="00FF4F7F" w:rsidRDefault="00FF4F7F"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PRINCIPIOS RECTORES Y GARANTÍAS PROCESALES</w:t>
            </w:r>
          </w:p>
          <w:p w14:paraId="0C5AB482" w14:textId="77777777" w:rsidR="00FF4F7F" w:rsidRPr="00FF4F7F" w:rsidRDefault="00FF4F7F"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Dignidad humana (art. 1º </w:t>
            </w:r>
            <w:proofErr w:type="gramStart"/>
            <w:r w:rsidRPr="00FF4F7F">
              <w:rPr>
                <w:rFonts w:asciiTheme="majorHAnsi" w:hAnsiTheme="majorHAnsi" w:cstheme="majorHAnsi"/>
                <w:lang w:eastAsia="es-ES"/>
              </w:rPr>
              <w:t>y  1º</w:t>
            </w:r>
            <w:proofErr w:type="gramEnd"/>
            <w:r w:rsidRPr="00FF4F7F">
              <w:rPr>
                <w:rFonts w:asciiTheme="majorHAnsi" w:hAnsiTheme="majorHAnsi" w:cstheme="majorHAnsi"/>
                <w:lang w:eastAsia="es-ES"/>
              </w:rPr>
              <w:t xml:space="preserve"> CNP)</w:t>
            </w:r>
          </w:p>
          <w:p w14:paraId="0ECBA36A"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Libertad (ART. 2º y 28 CNP)</w:t>
            </w:r>
          </w:p>
          <w:p w14:paraId="3548D839"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Prelación de los tratados internacionales    y Bloque de constitucionalidad (art. 3 y 93 CNP)</w:t>
            </w:r>
          </w:p>
          <w:p w14:paraId="469BDDD2" w14:textId="7FEC7E80"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Igualdad (Art.</w:t>
            </w:r>
            <w:r w:rsidR="00BD40B9" w:rsidRPr="00FF4F7F">
              <w:rPr>
                <w:rFonts w:asciiTheme="majorHAnsi" w:hAnsiTheme="majorHAnsi" w:cstheme="majorHAnsi"/>
                <w:lang w:eastAsia="es-ES"/>
              </w:rPr>
              <w:t>4 C.P.P</w:t>
            </w:r>
            <w:r w:rsidRPr="00FF4F7F">
              <w:rPr>
                <w:rFonts w:asciiTheme="majorHAnsi" w:hAnsiTheme="majorHAnsi" w:cstheme="majorHAnsi"/>
                <w:lang w:eastAsia="es-ES"/>
              </w:rPr>
              <w:t xml:space="preserve"> y 13 CNP)</w:t>
            </w:r>
          </w:p>
          <w:p w14:paraId="64999655"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Imparcialidad (art.15 C.P.P)</w:t>
            </w:r>
          </w:p>
          <w:p w14:paraId="73291AEF" w14:textId="31C8D051"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 xml:space="preserve">Legalidad (art. 6 </w:t>
            </w:r>
            <w:r w:rsidR="00BD40B9" w:rsidRPr="00FF4F7F">
              <w:rPr>
                <w:rFonts w:asciiTheme="majorHAnsi" w:hAnsiTheme="majorHAnsi" w:cstheme="majorHAnsi"/>
                <w:lang w:eastAsia="es-ES"/>
              </w:rPr>
              <w:t>C.P.P y</w:t>
            </w:r>
            <w:r w:rsidRPr="00FF4F7F">
              <w:rPr>
                <w:rFonts w:asciiTheme="majorHAnsi" w:hAnsiTheme="majorHAnsi" w:cstheme="majorHAnsi"/>
                <w:lang w:eastAsia="es-ES"/>
              </w:rPr>
              <w:t xml:space="preserve"> 29 CNP)</w:t>
            </w:r>
          </w:p>
          <w:p w14:paraId="0AFB3DC9"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 xml:space="preserve">Presunción de inocencia e in dubio pro reo (Art. 7 </w:t>
            </w:r>
            <w:proofErr w:type="gramStart"/>
            <w:r w:rsidRPr="00FF4F7F">
              <w:rPr>
                <w:rFonts w:asciiTheme="majorHAnsi" w:hAnsiTheme="majorHAnsi" w:cstheme="majorHAnsi"/>
                <w:lang w:eastAsia="es-ES"/>
              </w:rPr>
              <w:t>C.P.P  y</w:t>
            </w:r>
            <w:proofErr w:type="gramEnd"/>
            <w:r w:rsidRPr="00FF4F7F">
              <w:rPr>
                <w:rFonts w:asciiTheme="majorHAnsi" w:hAnsiTheme="majorHAnsi" w:cstheme="majorHAnsi"/>
                <w:lang w:eastAsia="es-ES"/>
              </w:rPr>
              <w:t xml:space="preserve"> 29 CNP)</w:t>
            </w:r>
          </w:p>
          <w:p w14:paraId="637DFE57"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Derecho de defensa (Art. 8 y 29 CNP)</w:t>
            </w:r>
          </w:p>
          <w:p w14:paraId="739343E4"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Oralidad (art. 9 y 250 núm. 4º CNP)</w:t>
            </w:r>
          </w:p>
          <w:p w14:paraId="73A07E6E"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 xml:space="preserve">Actuación procesal (Art. 10 </w:t>
            </w:r>
            <w:proofErr w:type="gramStart"/>
            <w:r w:rsidRPr="00FF4F7F">
              <w:rPr>
                <w:rFonts w:asciiTheme="majorHAnsi" w:hAnsiTheme="majorHAnsi" w:cstheme="majorHAnsi"/>
                <w:lang w:eastAsia="es-ES"/>
              </w:rPr>
              <w:t>C.P.P  y</w:t>
            </w:r>
            <w:proofErr w:type="gramEnd"/>
            <w:r w:rsidRPr="00FF4F7F">
              <w:rPr>
                <w:rFonts w:asciiTheme="majorHAnsi" w:hAnsiTheme="majorHAnsi" w:cstheme="majorHAnsi"/>
                <w:lang w:eastAsia="es-ES"/>
              </w:rPr>
              <w:t xml:space="preserve"> 228 CNP) </w:t>
            </w:r>
          </w:p>
          <w:p w14:paraId="6F1F44DC"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 xml:space="preserve">Derecho de las víctimas (art. 11 </w:t>
            </w:r>
            <w:proofErr w:type="gramStart"/>
            <w:r w:rsidRPr="00FF4F7F">
              <w:rPr>
                <w:rFonts w:asciiTheme="majorHAnsi" w:hAnsiTheme="majorHAnsi" w:cstheme="majorHAnsi"/>
                <w:lang w:eastAsia="es-ES"/>
              </w:rPr>
              <w:t>C.P.P  y</w:t>
            </w:r>
            <w:proofErr w:type="gramEnd"/>
            <w:r w:rsidRPr="00FF4F7F">
              <w:rPr>
                <w:rFonts w:asciiTheme="majorHAnsi" w:hAnsiTheme="majorHAnsi" w:cstheme="majorHAnsi"/>
                <w:lang w:eastAsia="es-ES"/>
              </w:rPr>
              <w:t xml:space="preserve"> 250-6 CNP)</w:t>
            </w:r>
          </w:p>
          <w:p w14:paraId="1DA1925A"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 xml:space="preserve">Lealtad y buena fe (art. 12 </w:t>
            </w:r>
            <w:proofErr w:type="gramStart"/>
            <w:r w:rsidRPr="00FF4F7F">
              <w:rPr>
                <w:rFonts w:asciiTheme="majorHAnsi" w:hAnsiTheme="majorHAnsi" w:cstheme="majorHAnsi"/>
                <w:lang w:eastAsia="es-ES"/>
              </w:rPr>
              <w:t>C.P.P  y</w:t>
            </w:r>
            <w:proofErr w:type="gramEnd"/>
            <w:r w:rsidRPr="00FF4F7F">
              <w:rPr>
                <w:rFonts w:asciiTheme="majorHAnsi" w:hAnsiTheme="majorHAnsi" w:cstheme="majorHAnsi"/>
                <w:lang w:eastAsia="es-ES"/>
              </w:rPr>
              <w:t xml:space="preserve"> 83 CNP)</w:t>
            </w:r>
          </w:p>
          <w:p w14:paraId="5A7845DC" w14:textId="77777777" w:rsidR="00FF4F7F" w:rsidRPr="00FF4F7F" w:rsidRDefault="00FF4F7F" w:rsidP="00386C4D">
            <w:pPr>
              <w:numPr>
                <w:ilvl w:val="1"/>
                <w:numId w:val="21"/>
              </w:numPr>
              <w:rPr>
                <w:rFonts w:asciiTheme="majorHAnsi" w:hAnsiTheme="majorHAnsi" w:cstheme="majorHAnsi"/>
                <w:lang w:val="en-US" w:eastAsia="es-ES"/>
              </w:rPr>
            </w:pPr>
            <w:proofErr w:type="spellStart"/>
            <w:r w:rsidRPr="00FF4F7F">
              <w:rPr>
                <w:rFonts w:asciiTheme="majorHAnsi" w:hAnsiTheme="majorHAnsi" w:cstheme="majorHAnsi"/>
                <w:lang w:val="en-US" w:eastAsia="es-ES"/>
              </w:rPr>
              <w:t>Gratuidad</w:t>
            </w:r>
            <w:proofErr w:type="spellEnd"/>
            <w:r w:rsidRPr="00FF4F7F">
              <w:rPr>
                <w:rFonts w:asciiTheme="majorHAnsi" w:hAnsiTheme="majorHAnsi" w:cstheme="majorHAnsi"/>
                <w:lang w:val="en-US" w:eastAsia="es-ES"/>
              </w:rPr>
              <w:t xml:space="preserve"> (art. 13 C.P.P)</w:t>
            </w:r>
          </w:p>
          <w:p w14:paraId="531CE77B" w14:textId="77777777" w:rsidR="00FF4F7F" w:rsidRPr="00FF4F7F" w:rsidRDefault="00FF4F7F" w:rsidP="00386C4D">
            <w:pPr>
              <w:numPr>
                <w:ilvl w:val="1"/>
                <w:numId w:val="21"/>
              </w:numPr>
              <w:rPr>
                <w:rFonts w:asciiTheme="majorHAnsi" w:hAnsiTheme="majorHAnsi" w:cstheme="majorHAnsi"/>
                <w:lang w:val="en-US" w:eastAsia="es-ES"/>
              </w:rPr>
            </w:pPr>
            <w:proofErr w:type="spellStart"/>
            <w:r w:rsidRPr="00FF4F7F">
              <w:rPr>
                <w:rFonts w:asciiTheme="majorHAnsi" w:hAnsiTheme="majorHAnsi" w:cstheme="majorHAnsi"/>
                <w:lang w:val="en-US" w:eastAsia="es-ES"/>
              </w:rPr>
              <w:t>Intimidad</w:t>
            </w:r>
            <w:proofErr w:type="spellEnd"/>
            <w:r w:rsidRPr="00FF4F7F">
              <w:rPr>
                <w:rFonts w:asciiTheme="majorHAnsi" w:hAnsiTheme="majorHAnsi" w:cstheme="majorHAnsi"/>
                <w:lang w:val="en-US" w:eastAsia="es-ES"/>
              </w:rPr>
              <w:t xml:space="preserve"> (art. 14 C.P.P)</w:t>
            </w:r>
          </w:p>
          <w:p w14:paraId="16E93C5E"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Contradicción (art. 15 C.P.P)</w:t>
            </w:r>
          </w:p>
          <w:p w14:paraId="0CBD9E18"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Inmediación (art. 16 C.P.P)</w:t>
            </w:r>
          </w:p>
          <w:p w14:paraId="6166BE2E"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lastRenderedPageBreak/>
              <w:t>Concentración (art. 17 C.P.P)</w:t>
            </w:r>
          </w:p>
          <w:p w14:paraId="3D9AE525" w14:textId="77777777" w:rsidR="00FF4F7F" w:rsidRPr="00FF4F7F" w:rsidRDefault="00FF4F7F" w:rsidP="00386C4D">
            <w:pPr>
              <w:numPr>
                <w:ilvl w:val="1"/>
                <w:numId w:val="21"/>
              </w:numPr>
              <w:rPr>
                <w:rFonts w:asciiTheme="majorHAnsi" w:hAnsiTheme="majorHAnsi" w:cstheme="majorHAnsi"/>
                <w:lang w:val="en-US" w:eastAsia="es-ES"/>
              </w:rPr>
            </w:pPr>
            <w:r w:rsidRPr="00FF4F7F">
              <w:rPr>
                <w:rFonts w:asciiTheme="majorHAnsi" w:hAnsiTheme="majorHAnsi" w:cstheme="majorHAnsi"/>
                <w:lang w:val="en-US" w:eastAsia="es-ES"/>
              </w:rPr>
              <w:t>Publicidad (art. 18 C.P.P)</w:t>
            </w:r>
          </w:p>
          <w:p w14:paraId="7A558EA2" w14:textId="77777777" w:rsidR="00FF4F7F" w:rsidRPr="00FF4F7F" w:rsidRDefault="00FF4F7F" w:rsidP="00386C4D">
            <w:pPr>
              <w:numPr>
                <w:ilvl w:val="1"/>
                <w:numId w:val="21"/>
              </w:numPr>
              <w:rPr>
                <w:rFonts w:asciiTheme="majorHAnsi" w:hAnsiTheme="majorHAnsi" w:cstheme="majorHAnsi"/>
                <w:lang w:val="en-US" w:eastAsia="es-ES"/>
              </w:rPr>
            </w:pPr>
            <w:proofErr w:type="spellStart"/>
            <w:r w:rsidRPr="00FF4F7F">
              <w:rPr>
                <w:rFonts w:asciiTheme="majorHAnsi" w:hAnsiTheme="majorHAnsi" w:cstheme="majorHAnsi"/>
                <w:lang w:val="en-US" w:eastAsia="es-ES"/>
              </w:rPr>
              <w:t>Juez</w:t>
            </w:r>
            <w:proofErr w:type="spellEnd"/>
            <w:r w:rsidRPr="00FF4F7F">
              <w:rPr>
                <w:rFonts w:asciiTheme="majorHAnsi" w:hAnsiTheme="majorHAnsi" w:cstheme="majorHAnsi"/>
                <w:lang w:val="en-US" w:eastAsia="es-ES"/>
              </w:rPr>
              <w:t xml:space="preserve"> Natural (art. 19 C.P.P)</w:t>
            </w:r>
          </w:p>
          <w:p w14:paraId="3F4DE705"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Doble Instancia (art. 20 C.P.P)</w:t>
            </w:r>
          </w:p>
          <w:p w14:paraId="2AA4828F"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Cosa juzgada (art. 21 C.P.P)</w:t>
            </w:r>
          </w:p>
          <w:p w14:paraId="04317654"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Restablecimiento del Derecho (art. 22 C.P.P)</w:t>
            </w:r>
          </w:p>
          <w:p w14:paraId="789527D7"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Cláusula de exclusión (art. 23 C.P.P)</w:t>
            </w:r>
          </w:p>
          <w:p w14:paraId="0D264D35"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Integración (art. 25 C.P.P)</w:t>
            </w:r>
          </w:p>
          <w:p w14:paraId="116CA586"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Ámbito de la jurisdicción penal (art. 24 C.P.P)</w:t>
            </w:r>
          </w:p>
          <w:p w14:paraId="1016D329" w14:textId="77777777" w:rsidR="00FF4F7F" w:rsidRPr="00FF4F7F" w:rsidRDefault="00FF4F7F" w:rsidP="00386C4D">
            <w:pPr>
              <w:numPr>
                <w:ilvl w:val="1"/>
                <w:numId w:val="21"/>
              </w:numPr>
              <w:rPr>
                <w:rFonts w:asciiTheme="majorHAnsi" w:hAnsiTheme="majorHAnsi" w:cstheme="majorHAnsi"/>
                <w:lang w:eastAsia="es-ES"/>
              </w:rPr>
            </w:pPr>
            <w:r w:rsidRPr="00FF4F7F">
              <w:rPr>
                <w:rFonts w:asciiTheme="majorHAnsi" w:hAnsiTheme="majorHAnsi" w:cstheme="majorHAnsi"/>
                <w:lang w:eastAsia="es-ES"/>
              </w:rPr>
              <w:t>Prevalencia (art. 26 C.P.P)</w:t>
            </w:r>
          </w:p>
          <w:p w14:paraId="3228DA3A" w14:textId="641CD7C8" w:rsidR="00FF4F7F" w:rsidRPr="00C12F04" w:rsidRDefault="00FF4F7F" w:rsidP="00386C4D">
            <w:pPr>
              <w:numPr>
                <w:ilvl w:val="1"/>
                <w:numId w:val="21"/>
              </w:numPr>
              <w:rPr>
                <w:rFonts w:asciiTheme="majorHAnsi" w:hAnsiTheme="majorHAnsi" w:cstheme="majorHAnsi"/>
                <w:b/>
                <w:lang w:eastAsia="es-ES"/>
              </w:rPr>
            </w:pPr>
            <w:r w:rsidRPr="00FF4F7F">
              <w:rPr>
                <w:rFonts w:asciiTheme="majorHAnsi" w:hAnsiTheme="majorHAnsi" w:cstheme="majorHAnsi"/>
                <w:lang w:eastAsia="es-ES"/>
              </w:rPr>
              <w:t>Moduladores de la actividad Procesal (art. 27 C.P.P)</w:t>
            </w:r>
          </w:p>
          <w:p w14:paraId="418F0612" w14:textId="77777777" w:rsidR="00C12F04" w:rsidRPr="00C12F04" w:rsidRDefault="00C12F04" w:rsidP="00386C4D">
            <w:pPr>
              <w:ind w:left="962"/>
              <w:rPr>
                <w:rFonts w:asciiTheme="majorHAnsi" w:hAnsiTheme="majorHAnsi" w:cstheme="majorHAnsi"/>
                <w:b/>
                <w:lang w:eastAsia="es-ES"/>
              </w:rPr>
            </w:pPr>
          </w:p>
          <w:p w14:paraId="376CB9C1" w14:textId="77777777" w:rsidR="00C12F04" w:rsidRPr="00FF4F7F" w:rsidRDefault="00C12F04"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JURISDICCIÓN Y COMPETENCIA</w:t>
            </w:r>
          </w:p>
          <w:p w14:paraId="611EFCE6"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Jurisdicción (art. 28 del C-P.P. y art. 116 y 234 de la CNP)</w:t>
            </w:r>
          </w:p>
          <w:p w14:paraId="7CD8F0F2"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val="en-US" w:eastAsia="es-ES"/>
              </w:rPr>
            </w:pPr>
            <w:proofErr w:type="spellStart"/>
            <w:r w:rsidRPr="00FF4F7F">
              <w:rPr>
                <w:rFonts w:asciiTheme="majorHAnsi" w:hAnsiTheme="majorHAnsi" w:cstheme="majorHAnsi"/>
                <w:lang w:val="en-US" w:eastAsia="es-ES"/>
              </w:rPr>
              <w:t>Ordinaria</w:t>
            </w:r>
            <w:proofErr w:type="spellEnd"/>
            <w:r w:rsidRPr="00FF4F7F">
              <w:rPr>
                <w:rFonts w:asciiTheme="majorHAnsi" w:hAnsiTheme="majorHAnsi" w:cstheme="majorHAnsi"/>
                <w:lang w:val="en-US" w:eastAsia="es-ES"/>
              </w:rPr>
              <w:t xml:space="preserve"> (art. 28 C.P.P)  </w:t>
            </w:r>
          </w:p>
          <w:p w14:paraId="29A07B9C"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val="en-US" w:eastAsia="es-ES"/>
              </w:rPr>
            </w:pPr>
            <w:proofErr w:type="spellStart"/>
            <w:r w:rsidRPr="00FF4F7F">
              <w:rPr>
                <w:rFonts w:asciiTheme="majorHAnsi" w:hAnsiTheme="majorHAnsi" w:cstheme="majorHAnsi"/>
                <w:lang w:val="en-US" w:eastAsia="es-ES"/>
              </w:rPr>
              <w:t>Militar</w:t>
            </w:r>
            <w:proofErr w:type="spellEnd"/>
            <w:r w:rsidRPr="00FF4F7F">
              <w:rPr>
                <w:rFonts w:asciiTheme="majorHAnsi" w:hAnsiTheme="majorHAnsi" w:cstheme="majorHAnsi"/>
                <w:lang w:val="en-US" w:eastAsia="es-ES"/>
              </w:rPr>
              <w:t xml:space="preserve"> (art. 30 C.P.P)  </w:t>
            </w:r>
          </w:p>
          <w:p w14:paraId="0CB2E7B7"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 xml:space="preserve">Indígena (art. 30 C.P.P) </w:t>
            </w:r>
          </w:p>
          <w:p w14:paraId="46701B5E"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 xml:space="preserve">Internacional (art. 29 C.P.P) </w:t>
            </w:r>
          </w:p>
          <w:p w14:paraId="55D6AE5A"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Autoridades de la Jurisdicción ordinaria en el proceso penal (art. 31 C.P.P)  </w:t>
            </w:r>
          </w:p>
          <w:p w14:paraId="27EB9E4B" w14:textId="77777777" w:rsidR="00C12F04" w:rsidRPr="00FF4F7F" w:rsidRDefault="00C12F04" w:rsidP="00386C4D">
            <w:pPr>
              <w:widowControl w:val="0"/>
              <w:numPr>
                <w:ilvl w:val="3"/>
                <w:numId w:val="21"/>
              </w:numPr>
              <w:tabs>
                <w:tab w:val="left" w:pos="602"/>
              </w:tabs>
              <w:autoSpaceDE w:val="0"/>
              <w:autoSpaceDN w:val="0"/>
              <w:ind w:left="2574"/>
              <w:contextualSpacing/>
              <w:rPr>
                <w:rFonts w:asciiTheme="majorHAnsi" w:hAnsiTheme="majorHAnsi" w:cstheme="majorHAnsi"/>
                <w:lang w:eastAsia="es-ES"/>
              </w:rPr>
            </w:pPr>
            <w:r w:rsidRPr="00FF4F7F">
              <w:rPr>
                <w:rFonts w:asciiTheme="majorHAnsi" w:hAnsiTheme="majorHAnsi" w:cstheme="majorHAnsi"/>
                <w:lang w:eastAsia="es-ES"/>
              </w:rPr>
              <w:t>Fiscalía General de la Nación (art. 45 del C. P.P. 249 de la CPN)</w:t>
            </w:r>
          </w:p>
          <w:p w14:paraId="152476CB" w14:textId="77777777" w:rsidR="00C12F04" w:rsidRPr="00FF4F7F" w:rsidRDefault="00C12F04" w:rsidP="00386C4D">
            <w:pPr>
              <w:widowControl w:val="0"/>
              <w:numPr>
                <w:ilvl w:val="4"/>
                <w:numId w:val="21"/>
              </w:numPr>
              <w:tabs>
                <w:tab w:val="left" w:pos="602"/>
              </w:tabs>
              <w:autoSpaceDE w:val="0"/>
              <w:autoSpaceDN w:val="0"/>
              <w:ind w:left="3141"/>
              <w:contextualSpacing/>
              <w:rPr>
                <w:rFonts w:asciiTheme="majorHAnsi" w:hAnsiTheme="majorHAnsi" w:cstheme="majorHAnsi"/>
                <w:lang w:eastAsia="es-ES"/>
              </w:rPr>
            </w:pPr>
            <w:r w:rsidRPr="00FF4F7F">
              <w:rPr>
                <w:rFonts w:asciiTheme="majorHAnsi" w:hAnsiTheme="majorHAnsi" w:cstheme="majorHAnsi"/>
                <w:lang w:eastAsia="es-ES"/>
              </w:rPr>
              <w:t>Estructura Funcional (art. 113 C.P.P)</w:t>
            </w:r>
          </w:p>
          <w:p w14:paraId="32EE1187" w14:textId="77777777" w:rsidR="00C12F04" w:rsidRPr="00FF4F7F" w:rsidRDefault="00C12F04" w:rsidP="00386C4D">
            <w:pPr>
              <w:widowControl w:val="0"/>
              <w:numPr>
                <w:ilvl w:val="4"/>
                <w:numId w:val="21"/>
              </w:numPr>
              <w:tabs>
                <w:tab w:val="left" w:pos="602"/>
              </w:tabs>
              <w:autoSpaceDE w:val="0"/>
              <w:autoSpaceDN w:val="0"/>
              <w:ind w:left="3141"/>
              <w:contextualSpacing/>
              <w:rPr>
                <w:rFonts w:asciiTheme="majorHAnsi" w:hAnsiTheme="majorHAnsi" w:cstheme="majorHAnsi"/>
                <w:lang w:eastAsia="es-ES"/>
              </w:rPr>
            </w:pPr>
            <w:r w:rsidRPr="00FF4F7F">
              <w:rPr>
                <w:rFonts w:asciiTheme="majorHAnsi" w:hAnsiTheme="majorHAnsi" w:cstheme="majorHAnsi"/>
                <w:lang w:eastAsia="es-ES"/>
              </w:rPr>
              <w:t>Competencias (art. 200 C.P.P)</w:t>
            </w:r>
          </w:p>
          <w:p w14:paraId="72234254" w14:textId="77777777" w:rsidR="00C12F04" w:rsidRPr="00FF4F7F" w:rsidRDefault="00C12F04" w:rsidP="00386C4D">
            <w:pPr>
              <w:widowControl w:val="0"/>
              <w:numPr>
                <w:ilvl w:val="4"/>
                <w:numId w:val="21"/>
              </w:numPr>
              <w:tabs>
                <w:tab w:val="left" w:pos="602"/>
              </w:tabs>
              <w:autoSpaceDE w:val="0"/>
              <w:autoSpaceDN w:val="0"/>
              <w:ind w:left="3141"/>
              <w:contextualSpacing/>
              <w:rPr>
                <w:rFonts w:asciiTheme="majorHAnsi" w:hAnsiTheme="majorHAnsi" w:cstheme="majorHAnsi"/>
                <w:lang w:eastAsia="es-ES"/>
              </w:rPr>
            </w:pPr>
            <w:r w:rsidRPr="00FF4F7F">
              <w:rPr>
                <w:rFonts w:asciiTheme="majorHAnsi" w:hAnsiTheme="majorHAnsi" w:cstheme="majorHAnsi"/>
                <w:lang w:eastAsia="es-ES"/>
              </w:rPr>
              <w:t xml:space="preserve">Atribuciones (art. 66, 114, 116 y 142 del C.P.P. y art. 250 y 251 de la CNP) </w:t>
            </w:r>
          </w:p>
          <w:p w14:paraId="4DB48BFF" w14:textId="77777777" w:rsidR="00C12F04" w:rsidRPr="00FF4F7F" w:rsidRDefault="00C12F04" w:rsidP="00386C4D">
            <w:pPr>
              <w:widowControl w:val="0"/>
              <w:numPr>
                <w:ilvl w:val="3"/>
                <w:numId w:val="21"/>
              </w:numPr>
              <w:tabs>
                <w:tab w:val="left" w:pos="602"/>
              </w:tabs>
              <w:autoSpaceDE w:val="0"/>
              <w:autoSpaceDN w:val="0"/>
              <w:ind w:left="2574"/>
              <w:contextualSpacing/>
              <w:rPr>
                <w:rFonts w:asciiTheme="majorHAnsi" w:hAnsiTheme="majorHAnsi" w:cstheme="majorHAnsi"/>
                <w:lang w:eastAsia="es-ES"/>
              </w:rPr>
            </w:pPr>
            <w:r w:rsidRPr="00FF4F7F">
              <w:rPr>
                <w:rFonts w:asciiTheme="majorHAnsi" w:hAnsiTheme="majorHAnsi" w:cstheme="majorHAnsi"/>
                <w:lang w:eastAsia="es-ES"/>
              </w:rPr>
              <w:t>Jueces y magistrados (art. 32 a 41 C.P.P)</w:t>
            </w:r>
          </w:p>
          <w:p w14:paraId="226B9CAA" w14:textId="77777777" w:rsidR="00C12F04" w:rsidRPr="00FF4F7F" w:rsidRDefault="00C12F04" w:rsidP="00386C4D">
            <w:pPr>
              <w:widowControl w:val="0"/>
              <w:numPr>
                <w:ilvl w:val="4"/>
                <w:numId w:val="21"/>
              </w:numPr>
              <w:tabs>
                <w:tab w:val="left" w:pos="602"/>
              </w:tabs>
              <w:autoSpaceDE w:val="0"/>
              <w:autoSpaceDN w:val="0"/>
              <w:ind w:left="3141"/>
              <w:contextualSpacing/>
              <w:rPr>
                <w:rFonts w:asciiTheme="majorHAnsi" w:hAnsiTheme="majorHAnsi" w:cstheme="majorHAnsi"/>
                <w:lang w:eastAsia="es-ES"/>
              </w:rPr>
            </w:pPr>
            <w:r w:rsidRPr="00FF4F7F">
              <w:rPr>
                <w:rFonts w:asciiTheme="majorHAnsi" w:hAnsiTheme="majorHAnsi" w:cstheme="majorHAnsi"/>
                <w:lang w:eastAsia="es-ES"/>
              </w:rPr>
              <w:t>Funciones de control de garantías (art. 2 C.P.P y 39 C.P.P)</w:t>
            </w:r>
          </w:p>
          <w:p w14:paraId="1565F63C" w14:textId="77777777" w:rsidR="00C12F04" w:rsidRPr="00FF4F7F" w:rsidRDefault="00C12F04" w:rsidP="00386C4D">
            <w:pPr>
              <w:widowControl w:val="0"/>
              <w:numPr>
                <w:ilvl w:val="4"/>
                <w:numId w:val="21"/>
              </w:numPr>
              <w:tabs>
                <w:tab w:val="left" w:pos="602"/>
              </w:tabs>
              <w:autoSpaceDE w:val="0"/>
              <w:autoSpaceDN w:val="0"/>
              <w:ind w:left="3141"/>
              <w:contextualSpacing/>
              <w:rPr>
                <w:rFonts w:asciiTheme="majorHAnsi" w:hAnsiTheme="majorHAnsi" w:cstheme="majorHAnsi"/>
                <w:lang w:eastAsia="es-ES"/>
              </w:rPr>
            </w:pPr>
            <w:r w:rsidRPr="00FF4F7F">
              <w:rPr>
                <w:rFonts w:asciiTheme="majorHAnsi" w:hAnsiTheme="majorHAnsi" w:cstheme="majorHAnsi"/>
                <w:lang w:eastAsia="es-ES"/>
              </w:rPr>
              <w:t xml:space="preserve">Función de juzgamiento </w:t>
            </w:r>
          </w:p>
          <w:p w14:paraId="03A4126C" w14:textId="77777777" w:rsidR="00C12F04" w:rsidRPr="00FF4F7F" w:rsidRDefault="00C12F04" w:rsidP="00386C4D">
            <w:pPr>
              <w:widowControl w:val="0"/>
              <w:numPr>
                <w:ilvl w:val="4"/>
                <w:numId w:val="21"/>
              </w:numPr>
              <w:tabs>
                <w:tab w:val="left" w:pos="602"/>
              </w:tabs>
              <w:autoSpaceDE w:val="0"/>
              <w:autoSpaceDN w:val="0"/>
              <w:ind w:left="3141"/>
              <w:contextualSpacing/>
              <w:rPr>
                <w:rFonts w:asciiTheme="majorHAnsi" w:hAnsiTheme="majorHAnsi" w:cstheme="majorHAnsi"/>
                <w:lang w:eastAsia="es-ES"/>
              </w:rPr>
            </w:pPr>
            <w:r w:rsidRPr="00FF4F7F">
              <w:rPr>
                <w:rFonts w:asciiTheme="majorHAnsi" w:hAnsiTheme="majorHAnsi" w:cstheme="majorHAnsi"/>
                <w:lang w:eastAsia="es-ES"/>
              </w:rPr>
              <w:t>Jurisdicciones especiales</w:t>
            </w:r>
          </w:p>
          <w:p w14:paraId="48637CAB"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b/>
                <w:lang w:eastAsia="es-ES"/>
              </w:rPr>
              <w:t>Competencia</w:t>
            </w:r>
            <w:r w:rsidRPr="00FF4F7F">
              <w:rPr>
                <w:rFonts w:asciiTheme="majorHAnsi" w:hAnsiTheme="majorHAnsi" w:cstheme="majorHAnsi"/>
                <w:lang w:eastAsia="es-ES"/>
              </w:rPr>
              <w:t xml:space="preserve"> </w:t>
            </w:r>
          </w:p>
          <w:p w14:paraId="2BB2983F"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Factores de competencia </w:t>
            </w:r>
          </w:p>
          <w:p w14:paraId="7D87607B" w14:textId="77777777" w:rsidR="00C12F04" w:rsidRPr="00FF4F7F" w:rsidRDefault="00C12F04"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Factor Territorial (art. 14 del C. P. y art 42 a 45 del C.P.P.)</w:t>
            </w:r>
          </w:p>
          <w:p w14:paraId="4D8D4658" w14:textId="77777777" w:rsidR="00C12F04" w:rsidRPr="00FF4F7F" w:rsidRDefault="00C12F04"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Factor objetivo (art. 35 a 38 C.P.P</w:t>
            </w:r>
            <w:r>
              <w:rPr>
                <w:rFonts w:asciiTheme="majorHAnsi" w:hAnsiTheme="majorHAnsi" w:cstheme="majorHAnsi"/>
                <w:lang w:eastAsia="es-ES"/>
              </w:rPr>
              <w:t>.</w:t>
            </w:r>
            <w:r w:rsidRPr="00FF4F7F">
              <w:rPr>
                <w:rFonts w:asciiTheme="majorHAnsi" w:hAnsiTheme="majorHAnsi" w:cstheme="majorHAnsi"/>
                <w:lang w:eastAsia="es-ES"/>
              </w:rPr>
              <w:t xml:space="preserve">  – naturaleza de la conducta)</w:t>
            </w:r>
          </w:p>
          <w:p w14:paraId="3FD07AF5" w14:textId="77777777" w:rsidR="00C12F04" w:rsidRPr="00FF4F7F" w:rsidRDefault="00C12F04" w:rsidP="00386C4D">
            <w:pPr>
              <w:widowControl w:val="0"/>
              <w:numPr>
                <w:ilvl w:val="4"/>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Cuantía</w:t>
            </w:r>
          </w:p>
          <w:p w14:paraId="3C09CC71" w14:textId="77777777" w:rsidR="00C12F04" w:rsidRPr="00FF4F7F" w:rsidRDefault="00C12F04" w:rsidP="00386C4D">
            <w:pPr>
              <w:widowControl w:val="0"/>
              <w:numPr>
                <w:ilvl w:val="4"/>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Naturaleza del hecho</w:t>
            </w:r>
          </w:p>
          <w:p w14:paraId="5EF4D0CF" w14:textId="77777777" w:rsidR="00C12F04" w:rsidRPr="00FF4F7F" w:rsidRDefault="00C12F04"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Factor subjetivo (art. 30, 32 numerales 5, 6 7 y 9) y 33 numeral 2) C.P.P</w:t>
            </w:r>
            <w:r>
              <w:rPr>
                <w:rFonts w:asciiTheme="majorHAnsi" w:hAnsiTheme="majorHAnsi" w:cstheme="majorHAnsi"/>
                <w:lang w:eastAsia="es-ES"/>
              </w:rPr>
              <w:t>.</w:t>
            </w:r>
          </w:p>
          <w:p w14:paraId="70FB7328" w14:textId="77777777" w:rsidR="00C12F04" w:rsidRPr="00FF4F7F" w:rsidRDefault="00C12F04" w:rsidP="00386C4D">
            <w:pPr>
              <w:widowControl w:val="0"/>
              <w:numPr>
                <w:ilvl w:val="4"/>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Fuero constitucional (art. 174 y 235 C.N. y 32 del C.P.P.)  </w:t>
            </w:r>
          </w:p>
          <w:p w14:paraId="797DBD30" w14:textId="77777777" w:rsidR="00C12F04" w:rsidRPr="00FF4F7F" w:rsidRDefault="00C12F04" w:rsidP="00386C4D">
            <w:pPr>
              <w:widowControl w:val="0"/>
              <w:numPr>
                <w:ilvl w:val="4"/>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Fuero legal</w:t>
            </w:r>
          </w:p>
          <w:p w14:paraId="67CFDDC9" w14:textId="77777777" w:rsidR="00C12F04" w:rsidRPr="00FF4F7F" w:rsidRDefault="00C12F04"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Factor funcional (art. 31 C.P.P)  </w:t>
            </w:r>
          </w:p>
          <w:p w14:paraId="2C7C51E5" w14:textId="4B5C74BA"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Competencia en investigación y juzgamiento</w:t>
            </w:r>
          </w:p>
          <w:p w14:paraId="385E8AEB"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Competencia a prevención</w:t>
            </w:r>
          </w:p>
          <w:p w14:paraId="1E043336"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lastRenderedPageBreak/>
              <w:t>Cambio de radicación (art. 46 C.P.P</w:t>
            </w:r>
            <w:r>
              <w:rPr>
                <w:rFonts w:asciiTheme="majorHAnsi" w:hAnsiTheme="majorHAnsi" w:cstheme="majorHAnsi"/>
                <w:lang w:eastAsia="es-ES"/>
              </w:rPr>
              <w:t>.</w:t>
            </w:r>
            <w:r w:rsidRPr="00FF4F7F">
              <w:rPr>
                <w:rFonts w:asciiTheme="majorHAnsi" w:hAnsiTheme="majorHAnsi" w:cstheme="majorHAnsi"/>
                <w:lang w:eastAsia="es-ES"/>
              </w:rPr>
              <w:t xml:space="preserve"> y ss.)</w:t>
            </w:r>
          </w:p>
          <w:p w14:paraId="222D704B"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Función de ejecución (art. 38)</w:t>
            </w:r>
          </w:p>
          <w:p w14:paraId="4439A046"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Prórroga de competencia (art. 54 y 55)</w:t>
            </w:r>
          </w:p>
          <w:p w14:paraId="71C66BA7"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Competencia en materia de recursos</w:t>
            </w:r>
          </w:p>
          <w:p w14:paraId="0F2099CB" w14:textId="77777777" w:rsidR="00C12F04" w:rsidRPr="00FF4F7F" w:rsidRDefault="00C12F04"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Competencia de la reposición</w:t>
            </w:r>
          </w:p>
          <w:p w14:paraId="70B8B3C5" w14:textId="77777777" w:rsidR="00C12F04" w:rsidRPr="00FF4F7F" w:rsidRDefault="00C12F04"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Competencia apelación autos</w:t>
            </w:r>
          </w:p>
          <w:p w14:paraId="78D58127" w14:textId="77777777" w:rsidR="00C12F04" w:rsidRPr="00FF4F7F" w:rsidRDefault="00C12F04"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Competencia apelación sentencia</w:t>
            </w:r>
          </w:p>
          <w:p w14:paraId="31C8A749" w14:textId="77777777" w:rsidR="00C12F04" w:rsidRPr="00FF4F7F" w:rsidRDefault="00C12F04"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Competencia recurso de queja</w:t>
            </w:r>
          </w:p>
          <w:p w14:paraId="046EB4E4" w14:textId="79C66792" w:rsidR="00C12F04"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El problema de la doble conformidad</w:t>
            </w:r>
          </w:p>
          <w:p w14:paraId="71A8FE97" w14:textId="77777777" w:rsidR="00C12F04" w:rsidRPr="00C12F04" w:rsidRDefault="00C12F04" w:rsidP="00386C4D">
            <w:pPr>
              <w:rPr>
                <w:rFonts w:asciiTheme="majorHAnsi" w:hAnsiTheme="majorHAnsi" w:cstheme="majorHAnsi"/>
                <w:b/>
                <w:lang w:eastAsia="es-ES"/>
              </w:rPr>
            </w:pPr>
          </w:p>
          <w:p w14:paraId="12CACE85" w14:textId="77777777" w:rsidR="00C12F04" w:rsidRPr="00FF4F7F" w:rsidRDefault="00C12F04"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UNIDAD PROCESAL E IMPEDIMENTOS Y RECUSACIONES</w:t>
            </w:r>
          </w:p>
          <w:p w14:paraId="096177CC"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Unidad procesal</w:t>
            </w:r>
          </w:p>
          <w:p w14:paraId="7B3D786A"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Concepto (art. 50)</w:t>
            </w:r>
          </w:p>
          <w:p w14:paraId="00417A44"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Criterios de conexidad (art. 51) </w:t>
            </w:r>
          </w:p>
          <w:p w14:paraId="6AFC2AA3"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Ruptura de la unidad procesal (art. 53)</w:t>
            </w:r>
          </w:p>
          <w:p w14:paraId="66FCA84C"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Impedimentos y recusaciones</w:t>
            </w:r>
          </w:p>
          <w:p w14:paraId="05D16838"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Concepto</w:t>
            </w:r>
          </w:p>
          <w:p w14:paraId="4D97E271"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Causales (art. 56)</w:t>
            </w:r>
          </w:p>
          <w:p w14:paraId="54C650DA" w14:textId="7C4BD714" w:rsidR="00C12F04"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Trámite (art. 57)</w:t>
            </w:r>
          </w:p>
          <w:p w14:paraId="04870591" w14:textId="77777777" w:rsidR="00C12F04" w:rsidRDefault="00C12F04" w:rsidP="00386C4D">
            <w:pPr>
              <w:widowControl w:val="0"/>
              <w:tabs>
                <w:tab w:val="left" w:pos="602"/>
              </w:tabs>
              <w:autoSpaceDE w:val="0"/>
              <w:autoSpaceDN w:val="0"/>
              <w:ind w:left="1924"/>
              <w:contextualSpacing/>
              <w:rPr>
                <w:rFonts w:asciiTheme="majorHAnsi" w:hAnsiTheme="majorHAnsi" w:cstheme="majorHAnsi"/>
                <w:lang w:eastAsia="es-ES"/>
              </w:rPr>
            </w:pPr>
          </w:p>
          <w:p w14:paraId="33011E79" w14:textId="77777777" w:rsidR="00C12F04" w:rsidRPr="00FF4F7F" w:rsidRDefault="00C12F04"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ACCIÓN PENAL</w:t>
            </w:r>
          </w:p>
          <w:p w14:paraId="4CFACC37"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Características</w:t>
            </w:r>
          </w:p>
          <w:p w14:paraId="4C794607"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Titularidad y obligatoriedad (art. 66 C.P.P)</w:t>
            </w:r>
          </w:p>
          <w:p w14:paraId="63805188"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Acción Penal Privada</w:t>
            </w:r>
          </w:p>
          <w:p w14:paraId="4CC4CA30"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Concepto de acusador privado (art.549 C.P.P)</w:t>
            </w:r>
          </w:p>
          <w:p w14:paraId="348D6FFA"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Conductas susceptibles de conversión de la acción penal (art. 550 C.P.P)</w:t>
            </w:r>
          </w:p>
          <w:p w14:paraId="310D89CF"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Titulares de la acción penal privada (art. 551 C.P.P)</w:t>
            </w:r>
          </w:p>
          <w:p w14:paraId="6F6CA8AE" w14:textId="4AED4359"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Procedencia, solicitud y decisión de la conversión de la acción penal (arts. 552, 553 y 554 C.P.P)</w:t>
            </w:r>
          </w:p>
          <w:p w14:paraId="36901D4A"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Representación del acusador privado (art. 555 C.P.P)</w:t>
            </w:r>
          </w:p>
          <w:p w14:paraId="51C05FF2"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Actos de investigación y apoyo investigativo en actos complejos de investigación (art. 556 y 557 C.P.P)</w:t>
            </w:r>
          </w:p>
          <w:p w14:paraId="5C2DAC5E"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Solicitud de medida de aseguramiento (art 558 C.P.P)</w:t>
            </w:r>
          </w:p>
          <w:p w14:paraId="5F3A69BD"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Traslado de la custodia de los elementos materiales probatorios, evidencia física e información legalmente obtenida; y destrucción del objeto material del delito (arts. 559 y 563 C.P.P)</w:t>
            </w:r>
          </w:p>
          <w:p w14:paraId="5EF75E76"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Reversión de la acción penal de privada a pública (art. 560 y 554 C.P.P)</w:t>
            </w:r>
          </w:p>
          <w:p w14:paraId="52EFB6CC"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Formulación de la acción privada (art. 561 C.P.P)</w:t>
            </w:r>
          </w:p>
          <w:p w14:paraId="51449975"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Preclusión por atipicidad absoluta (art. 562 C.P.P)</w:t>
            </w:r>
          </w:p>
          <w:p w14:paraId="4FC0062E"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lastRenderedPageBreak/>
              <w:t xml:space="preserve">Reparación del acusador privado dentro del procedimiento </w:t>
            </w:r>
            <w:proofErr w:type="gramStart"/>
            <w:r w:rsidRPr="00FF4F7F">
              <w:rPr>
                <w:rFonts w:asciiTheme="majorHAnsi" w:hAnsiTheme="majorHAnsi" w:cstheme="majorHAnsi"/>
                <w:lang w:eastAsia="es-ES"/>
              </w:rPr>
              <w:t>abreviado(</w:t>
            </w:r>
            <w:proofErr w:type="gramEnd"/>
            <w:r w:rsidRPr="00FF4F7F">
              <w:rPr>
                <w:rFonts w:asciiTheme="majorHAnsi" w:hAnsiTheme="majorHAnsi" w:cstheme="majorHAnsi"/>
                <w:lang w:eastAsia="es-ES"/>
              </w:rPr>
              <w:t>art. 565 C.P.P).</w:t>
            </w:r>
          </w:p>
          <w:p w14:paraId="14B9E309"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Deber de denuncia y exoneración (art. 67 y 68 C.P.P)</w:t>
            </w:r>
          </w:p>
          <w:p w14:paraId="3A479F52"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Requisitos de la denuncia (art. 69 C.P.P)</w:t>
            </w:r>
          </w:p>
          <w:p w14:paraId="68B7D877"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Aportes de pruebas por el perjudicado – derecho de</w:t>
            </w:r>
            <w:r w:rsidRPr="00FF4F7F">
              <w:rPr>
                <w:rFonts w:asciiTheme="majorHAnsi" w:hAnsiTheme="majorHAnsi" w:cstheme="majorHAnsi"/>
                <w:spacing w:val="-11"/>
                <w:lang w:eastAsia="es-ES"/>
              </w:rPr>
              <w:t xml:space="preserve"> </w:t>
            </w:r>
            <w:r w:rsidRPr="00FF4F7F">
              <w:rPr>
                <w:rFonts w:asciiTheme="majorHAnsi" w:hAnsiTheme="majorHAnsi" w:cstheme="majorHAnsi"/>
                <w:lang w:eastAsia="es-ES"/>
              </w:rPr>
              <w:t>petición</w:t>
            </w:r>
          </w:p>
          <w:p w14:paraId="6FF8389A"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Condiciones de procedibilidad: querella y</w:t>
            </w:r>
            <w:r w:rsidRPr="00FF4F7F">
              <w:rPr>
                <w:rFonts w:asciiTheme="majorHAnsi" w:hAnsiTheme="majorHAnsi" w:cstheme="majorHAnsi"/>
                <w:spacing w:val="-4"/>
                <w:lang w:eastAsia="es-ES"/>
              </w:rPr>
              <w:t xml:space="preserve"> </w:t>
            </w:r>
            <w:r w:rsidRPr="00FF4F7F">
              <w:rPr>
                <w:rFonts w:asciiTheme="majorHAnsi" w:hAnsiTheme="majorHAnsi" w:cstheme="majorHAnsi"/>
                <w:lang w:eastAsia="es-ES"/>
              </w:rPr>
              <w:t>petición especial (art. 70 C.P.P)</w:t>
            </w:r>
          </w:p>
          <w:p w14:paraId="20A050F3"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Querellante</w:t>
            </w:r>
            <w:r w:rsidRPr="00FF4F7F">
              <w:rPr>
                <w:rFonts w:asciiTheme="majorHAnsi" w:hAnsiTheme="majorHAnsi" w:cstheme="majorHAnsi"/>
                <w:spacing w:val="-5"/>
                <w:lang w:eastAsia="es-ES"/>
              </w:rPr>
              <w:t xml:space="preserve"> </w:t>
            </w:r>
            <w:r w:rsidRPr="00FF4F7F">
              <w:rPr>
                <w:rFonts w:asciiTheme="majorHAnsi" w:hAnsiTheme="majorHAnsi" w:cstheme="majorHAnsi"/>
                <w:lang w:eastAsia="es-ES"/>
              </w:rPr>
              <w:t>legitimo (art. 71 C.P.P)</w:t>
            </w:r>
          </w:p>
          <w:p w14:paraId="414E4E6C"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Extensión de la</w:t>
            </w:r>
            <w:r w:rsidRPr="00FF4F7F">
              <w:rPr>
                <w:rFonts w:asciiTheme="majorHAnsi" w:hAnsiTheme="majorHAnsi" w:cstheme="majorHAnsi"/>
                <w:spacing w:val="-7"/>
                <w:lang w:eastAsia="es-ES"/>
              </w:rPr>
              <w:t xml:space="preserve"> </w:t>
            </w:r>
            <w:r w:rsidRPr="00FF4F7F">
              <w:rPr>
                <w:rFonts w:asciiTheme="majorHAnsi" w:hAnsiTheme="majorHAnsi" w:cstheme="majorHAnsi"/>
                <w:lang w:eastAsia="es-ES"/>
              </w:rPr>
              <w:t>querella (art. 72 C.P.P)</w:t>
            </w:r>
          </w:p>
          <w:p w14:paraId="74235E65"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Caducidad de la</w:t>
            </w:r>
            <w:r w:rsidRPr="00FF4F7F">
              <w:rPr>
                <w:rFonts w:asciiTheme="majorHAnsi" w:hAnsiTheme="majorHAnsi" w:cstheme="majorHAnsi"/>
                <w:spacing w:val="-5"/>
                <w:lang w:eastAsia="es-ES"/>
              </w:rPr>
              <w:t xml:space="preserve"> </w:t>
            </w:r>
            <w:r w:rsidRPr="00FF4F7F">
              <w:rPr>
                <w:rFonts w:asciiTheme="majorHAnsi" w:hAnsiTheme="majorHAnsi" w:cstheme="majorHAnsi"/>
                <w:lang w:eastAsia="es-ES"/>
              </w:rPr>
              <w:t>querella (art. 73 C.P.P)</w:t>
            </w:r>
          </w:p>
          <w:p w14:paraId="0BE94EBE"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Delitos que requieren</w:t>
            </w:r>
            <w:r w:rsidRPr="00FF4F7F">
              <w:rPr>
                <w:rFonts w:asciiTheme="majorHAnsi" w:hAnsiTheme="majorHAnsi" w:cstheme="majorHAnsi"/>
                <w:spacing w:val="-3"/>
                <w:lang w:eastAsia="es-ES"/>
              </w:rPr>
              <w:t xml:space="preserve"> </w:t>
            </w:r>
            <w:r w:rsidRPr="00FF4F7F">
              <w:rPr>
                <w:rFonts w:asciiTheme="majorHAnsi" w:hAnsiTheme="majorHAnsi" w:cstheme="majorHAnsi"/>
                <w:lang w:eastAsia="es-ES"/>
              </w:rPr>
              <w:t>querella (art. 74 C.P.P)</w:t>
            </w:r>
          </w:p>
          <w:p w14:paraId="107E80DB"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Desistimiento de la</w:t>
            </w:r>
            <w:r w:rsidRPr="00FF4F7F">
              <w:rPr>
                <w:rFonts w:asciiTheme="majorHAnsi" w:hAnsiTheme="majorHAnsi" w:cstheme="majorHAnsi"/>
                <w:spacing w:val="-9"/>
                <w:lang w:eastAsia="es-ES"/>
              </w:rPr>
              <w:t xml:space="preserve"> </w:t>
            </w:r>
            <w:r w:rsidRPr="00FF4F7F">
              <w:rPr>
                <w:rFonts w:asciiTheme="majorHAnsi" w:hAnsiTheme="majorHAnsi" w:cstheme="majorHAnsi"/>
                <w:lang w:eastAsia="es-ES"/>
              </w:rPr>
              <w:t>querella (art. 76 C.P.P)</w:t>
            </w:r>
          </w:p>
          <w:p w14:paraId="6021FD04"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Extinción de la acción</w:t>
            </w:r>
            <w:r w:rsidRPr="00FF4F7F">
              <w:rPr>
                <w:rFonts w:asciiTheme="majorHAnsi" w:hAnsiTheme="majorHAnsi" w:cstheme="majorHAnsi"/>
                <w:spacing w:val="-9"/>
                <w:lang w:eastAsia="es-ES"/>
              </w:rPr>
              <w:t xml:space="preserve"> </w:t>
            </w:r>
            <w:r w:rsidRPr="00FF4F7F">
              <w:rPr>
                <w:rFonts w:asciiTheme="majorHAnsi" w:hAnsiTheme="majorHAnsi" w:cstheme="majorHAnsi"/>
                <w:lang w:eastAsia="es-ES"/>
              </w:rPr>
              <w:t>penal (art. 77 C.P.P)</w:t>
            </w:r>
          </w:p>
          <w:p w14:paraId="12F469C8"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Archivo de la investigación por la</w:t>
            </w:r>
            <w:r w:rsidRPr="00FF4F7F">
              <w:rPr>
                <w:rFonts w:asciiTheme="majorHAnsi" w:hAnsiTheme="majorHAnsi" w:cstheme="majorHAnsi"/>
                <w:spacing w:val="-2"/>
                <w:lang w:eastAsia="es-ES"/>
              </w:rPr>
              <w:t xml:space="preserve"> </w:t>
            </w:r>
            <w:r w:rsidRPr="00FF4F7F">
              <w:rPr>
                <w:rFonts w:asciiTheme="majorHAnsi" w:hAnsiTheme="majorHAnsi" w:cstheme="majorHAnsi"/>
                <w:lang w:eastAsia="es-ES"/>
              </w:rPr>
              <w:t>fiscalía (art. 79 C.P.P)</w:t>
            </w:r>
          </w:p>
          <w:p w14:paraId="10212A3F" w14:textId="36283F5D"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Preclusión de la instrucción y cesación de</w:t>
            </w:r>
            <w:r w:rsidRPr="00FF4F7F">
              <w:rPr>
                <w:rFonts w:asciiTheme="majorHAnsi" w:hAnsiTheme="majorHAnsi" w:cstheme="majorHAnsi"/>
                <w:spacing w:val="-4"/>
                <w:lang w:eastAsia="es-ES"/>
              </w:rPr>
              <w:t xml:space="preserve"> </w:t>
            </w:r>
            <w:r w:rsidRPr="00FF4F7F">
              <w:rPr>
                <w:rFonts w:asciiTheme="majorHAnsi" w:hAnsiTheme="majorHAnsi" w:cstheme="majorHAnsi"/>
                <w:lang w:eastAsia="es-ES"/>
              </w:rPr>
              <w:t>procedimiento (art. 331 y ss. C.P.P)</w:t>
            </w:r>
          </w:p>
          <w:p w14:paraId="2263B79B" w14:textId="635E5D25" w:rsidR="00C12F04"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Deber de denuncia y exoneración (art. 67 y 68 C.P.P)</w:t>
            </w:r>
          </w:p>
          <w:p w14:paraId="757245AD" w14:textId="1387E3C5" w:rsidR="00C12F04" w:rsidRDefault="00C12F04" w:rsidP="00386C4D">
            <w:pPr>
              <w:widowControl w:val="0"/>
              <w:tabs>
                <w:tab w:val="left" w:pos="602"/>
              </w:tabs>
              <w:autoSpaceDE w:val="0"/>
              <w:autoSpaceDN w:val="0"/>
              <w:contextualSpacing/>
              <w:rPr>
                <w:rFonts w:asciiTheme="majorHAnsi" w:hAnsiTheme="majorHAnsi" w:cstheme="majorHAnsi"/>
                <w:lang w:eastAsia="es-ES"/>
              </w:rPr>
            </w:pPr>
          </w:p>
          <w:p w14:paraId="46BE1E27" w14:textId="77777777" w:rsidR="00C12F04" w:rsidRPr="00FF4F7F" w:rsidRDefault="00C12F04"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PRINCIPIO DE</w:t>
            </w:r>
            <w:r w:rsidRPr="00FF4F7F">
              <w:rPr>
                <w:rFonts w:asciiTheme="majorHAnsi" w:hAnsiTheme="majorHAnsi" w:cstheme="majorHAnsi"/>
                <w:b/>
                <w:spacing w:val="1"/>
                <w:lang w:eastAsia="es-ES"/>
              </w:rPr>
              <w:t xml:space="preserve"> </w:t>
            </w:r>
            <w:r w:rsidRPr="00FF4F7F">
              <w:rPr>
                <w:rFonts w:asciiTheme="majorHAnsi" w:hAnsiTheme="majorHAnsi" w:cstheme="majorHAnsi"/>
                <w:b/>
                <w:lang w:eastAsia="es-ES"/>
              </w:rPr>
              <w:t>OPORTUNIDAD</w:t>
            </w:r>
          </w:p>
          <w:p w14:paraId="0697AB6B"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Principio de oportunidad y política</w:t>
            </w:r>
            <w:r w:rsidRPr="00FF4F7F">
              <w:rPr>
                <w:rFonts w:asciiTheme="majorHAnsi" w:hAnsiTheme="majorHAnsi" w:cstheme="majorHAnsi"/>
                <w:spacing w:val="-1"/>
                <w:lang w:eastAsia="es-ES"/>
              </w:rPr>
              <w:t xml:space="preserve"> </w:t>
            </w:r>
            <w:r w:rsidRPr="00FF4F7F">
              <w:rPr>
                <w:rFonts w:asciiTheme="majorHAnsi" w:hAnsiTheme="majorHAnsi" w:cstheme="majorHAnsi"/>
                <w:lang w:eastAsia="es-ES"/>
              </w:rPr>
              <w:t>criminal (art. 321 C.P.P)</w:t>
            </w:r>
          </w:p>
          <w:p w14:paraId="0397D4E8"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Principio de oportunidad y principio de</w:t>
            </w:r>
            <w:r w:rsidRPr="00FF4F7F">
              <w:rPr>
                <w:rFonts w:asciiTheme="majorHAnsi" w:hAnsiTheme="majorHAnsi" w:cstheme="majorHAnsi"/>
                <w:spacing w:val="-5"/>
                <w:lang w:eastAsia="es-ES"/>
              </w:rPr>
              <w:t xml:space="preserve"> </w:t>
            </w:r>
            <w:r w:rsidRPr="00FF4F7F">
              <w:rPr>
                <w:rFonts w:asciiTheme="majorHAnsi" w:hAnsiTheme="majorHAnsi" w:cstheme="majorHAnsi"/>
                <w:lang w:eastAsia="es-ES"/>
              </w:rPr>
              <w:t xml:space="preserve">legalidad (art. </w:t>
            </w:r>
            <w:proofErr w:type="gramStart"/>
            <w:r w:rsidRPr="00FF4F7F">
              <w:rPr>
                <w:rFonts w:asciiTheme="majorHAnsi" w:hAnsiTheme="majorHAnsi" w:cstheme="majorHAnsi"/>
                <w:lang w:eastAsia="es-ES"/>
              </w:rPr>
              <w:t>322  C.P.P</w:t>
            </w:r>
            <w:proofErr w:type="gramEnd"/>
            <w:r w:rsidRPr="00FF4F7F">
              <w:rPr>
                <w:rFonts w:asciiTheme="majorHAnsi" w:hAnsiTheme="majorHAnsi" w:cstheme="majorHAnsi"/>
                <w:lang w:eastAsia="es-ES"/>
              </w:rPr>
              <w:t>)</w:t>
            </w:r>
          </w:p>
          <w:p w14:paraId="72CF8220"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Causales para aplicar el principio de</w:t>
            </w:r>
            <w:r w:rsidRPr="00FF4F7F">
              <w:rPr>
                <w:rFonts w:asciiTheme="majorHAnsi" w:hAnsiTheme="majorHAnsi" w:cstheme="majorHAnsi"/>
                <w:spacing w:val="-7"/>
                <w:lang w:eastAsia="es-ES"/>
              </w:rPr>
              <w:t xml:space="preserve"> </w:t>
            </w:r>
            <w:r w:rsidRPr="00FF4F7F">
              <w:rPr>
                <w:rFonts w:asciiTheme="majorHAnsi" w:hAnsiTheme="majorHAnsi" w:cstheme="majorHAnsi"/>
                <w:lang w:eastAsia="es-ES"/>
              </w:rPr>
              <w:t>oportunidad (art. 324 C.P.P)</w:t>
            </w:r>
          </w:p>
          <w:p w14:paraId="1DBFE828"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Suspensión del procedimiento de</w:t>
            </w:r>
            <w:r w:rsidRPr="00FF4F7F">
              <w:rPr>
                <w:rFonts w:asciiTheme="majorHAnsi" w:hAnsiTheme="majorHAnsi" w:cstheme="majorHAnsi"/>
                <w:spacing w:val="-3"/>
                <w:lang w:eastAsia="es-ES"/>
              </w:rPr>
              <w:t xml:space="preserve"> </w:t>
            </w:r>
            <w:r w:rsidRPr="00FF4F7F">
              <w:rPr>
                <w:rFonts w:asciiTheme="majorHAnsi" w:hAnsiTheme="majorHAnsi" w:cstheme="majorHAnsi"/>
                <w:lang w:eastAsia="es-ES"/>
              </w:rPr>
              <w:t xml:space="preserve">prueba (art. 325 y </w:t>
            </w:r>
            <w:proofErr w:type="gramStart"/>
            <w:r w:rsidRPr="00FF4F7F">
              <w:rPr>
                <w:rFonts w:asciiTheme="majorHAnsi" w:hAnsiTheme="majorHAnsi" w:cstheme="majorHAnsi"/>
                <w:lang w:eastAsia="es-ES"/>
              </w:rPr>
              <w:t>326  C.P.P</w:t>
            </w:r>
            <w:proofErr w:type="gramEnd"/>
            <w:r w:rsidRPr="00FF4F7F">
              <w:rPr>
                <w:rFonts w:asciiTheme="majorHAnsi" w:hAnsiTheme="majorHAnsi" w:cstheme="majorHAnsi"/>
                <w:lang w:eastAsia="es-ES"/>
              </w:rPr>
              <w:t>)</w:t>
            </w:r>
          </w:p>
          <w:p w14:paraId="663A1AF9"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 xml:space="preserve">Control Judicial de la aplicación del principio de oportunidad y sus alcances (art. </w:t>
            </w:r>
            <w:proofErr w:type="gramStart"/>
            <w:r w:rsidRPr="00FF4F7F">
              <w:rPr>
                <w:rFonts w:asciiTheme="majorHAnsi" w:hAnsiTheme="majorHAnsi" w:cstheme="majorHAnsi"/>
                <w:lang w:eastAsia="es-ES"/>
              </w:rPr>
              <w:t>327  C.P.P</w:t>
            </w:r>
            <w:proofErr w:type="gramEnd"/>
            <w:r w:rsidRPr="00FF4F7F">
              <w:rPr>
                <w:rFonts w:asciiTheme="majorHAnsi" w:hAnsiTheme="majorHAnsi" w:cstheme="majorHAnsi"/>
                <w:lang w:eastAsia="es-ES"/>
              </w:rPr>
              <w:t>)</w:t>
            </w:r>
          </w:p>
          <w:p w14:paraId="5E29B77E"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Efectos de la aplicación del principio de</w:t>
            </w:r>
            <w:r w:rsidRPr="00FF4F7F">
              <w:rPr>
                <w:rFonts w:asciiTheme="majorHAnsi" w:hAnsiTheme="majorHAnsi" w:cstheme="majorHAnsi"/>
                <w:spacing w:val="-10"/>
                <w:lang w:eastAsia="es-ES"/>
              </w:rPr>
              <w:t xml:space="preserve"> </w:t>
            </w:r>
            <w:r w:rsidRPr="00FF4F7F">
              <w:rPr>
                <w:rFonts w:asciiTheme="majorHAnsi" w:hAnsiTheme="majorHAnsi" w:cstheme="majorHAnsi"/>
                <w:lang w:eastAsia="es-ES"/>
              </w:rPr>
              <w:t xml:space="preserve">oportunidad (art. </w:t>
            </w:r>
            <w:proofErr w:type="gramStart"/>
            <w:r w:rsidRPr="00FF4F7F">
              <w:rPr>
                <w:rFonts w:asciiTheme="majorHAnsi" w:hAnsiTheme="majorHAnsi" w:cstheme="majorHAnsi"/>
                <w:lang w:eastAsia="es-ES"/>
              </w:rPr>
              <w:t>329  C.P.P</w:t>
            </w:r>
            <w:proofErr w:type="gramEnd"/>
            <w:r w:rsidRPr="00FF4F7F">
              <w:rPr>
                <w:rFonts w:asciiTheme="majorHAnsi" w:hAnsiTheme="majorHAnsi" w:cstheme="majorHAnsi"/>
                <w:lang w:eastAsia="es-ES"/>
              </w:rPr>
              <w:t>)</w:t>
            </w:r>
          </w:p>
          <w:p w14:paraId="01715257"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 xml:space="preserve">Sentencia </w:t>
            </w:r>
          </w:p>
          <w:p w14:paraId="5F39C818" w14:textId="46004A3C" w:rsidR="00C12F04" w:rsidRDefault="00C12F04" w:rsidP="00386C4D">
            <w:pPr>
              <w:widowControl w:val="0"/>
              <w:tabs>
                <w:tab w:val="left" w:pos="602"/>
              </w:tabs>
              <w:autoSpaceDE w:val="0"/>
              <w:autoSpaceDN w:val="0"/>
              <w:contextualSpacing/>
              <w:rPr>
                <w:rFonts w:asciiTheme="majorHAnsi" w:hAnsiTheme="majorHAnsi" w:cstheme="majorHAnsi"/>
                <w:lang w:eastAsia="es-ES"/>
              </w:rPr>
            </w:pPr>
          </w:p>
          <w:p w14:paraId="13366FC0" w14:textId="77777777" w:rsidR="00C12F04" w:rsidRPr="00FF4F7F" w:rsidRDefault="00C12F04"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RESTABLECIMIENTO DEL</w:t>
            </w:r>
            <w:r w:rsidRPr="00FF4F7F">
              <w:rPr>
                <w:rFonts w:asciiTheme="majorHAnsi" w:hAnsiTheme="majorHAnsi" w:cstheme="majorHAnsi"/>
                <w:b/>
                <w:spacing w:val="-3"/>
                <w:lang w:eastAsia="es-ES"/>
              </w:rPr>
              <w:t xml:space="preserve"> </w:t>
            </w:r>
            <w:r w:rsidRPr="00FF4F7F">
              <w:rPr>
                <w:rFonts w:asciiTheme="majorHAnsi" w:hAnsiTheme="majorHAnsi" w:cstheme="majorHAnsi"/>
                <w:b/>
                <w:lang w:eastAsia="es-ES"/>
              </w:rPr>
              <w:t xml:space="preserve">DERECHO </w:t>
            </w:r>
            <w:r w:rsidRPr="00FF4F7F">
              <w:rPr>
                <w:rFonts w:asciiTheme="majorHAnsi" w:hAnsiTheme="majorHAnsi" w:cstheme="majorHAnsi"/>
                <w:lang w:eastAsia="es-ES"/>
              </w:rPr>
              <w:t xml:space="preserve">(art. 22, 114 # </w:t>
            </w:r>
            <w:proofErr w:type="gramStart"/>
            <w:r w:rsidRPr="00FF4F7F">
              <w:rPr>
                <w:rFonts w:asciiTheme="majorHAnsi" w:hAnsiTheme="majorHAnsi" w:cstheme="majorHAnsi"/>
                <w:lang w:eastAsia="es-ES"/>
              </w:rPr>
              <w:t>12  C.P.P</w:t>
            </w:r>
            <w:proofErr w:type="gramEnd"/>
            <w:r w:rsidRPr="00FF4F7F">
              <w:rPr>
                <w:rFonts w:asciiTheme="majorHAnsi" w:hAnsiTheme="majorHAnsi" w:cstheme="majorHAnsi"/>
                <w:lang w:eastAsia="es-ES"/>
              </w:rPr>
              <w:t>)</w:t>
            </w:r>
          </w:p>
          <w:p w14:paraId="2A69E15B"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Concepto y fundamento</w:t>
            </w:r>
            <w:r w:rsidRPr="00FF4F7F">
              <w:rPr>
                <w:rFonts w:asciiTheme="majorHAnsi" w:hAnsiTheme="majorHAnsi" w:cstheme="majorHAnsi"/>
                <w:spacing w:val="-3"/>
                <w:lang w:eastAsia="es-ES"/>
              </w:rPr>
              <w:t xml:space="preserve"> </w:t>
            </w:r>
            <w:r w:rsidRPr="00FF4F7F">
              <w:rPr>
                <w:rFonts w:asciiTheme="majorHAnsi" w:hAnsiTheme="majorHAnsi" w:cstheme="majorHAnsi"/>
                <w:lang w:eastAsia="es-ES"/>
              </w:rPr>
              <w:t>constitucional</w:t>
            </w:r>
          </w:p>
          <w:p w14:paraId="3AF73A46"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Las víctimas y el proceso</w:t>
            </w:r>
            <w:r w:rsidRPr="00FF4F7F">
              <w:rPr>
                <w:rFonts w:asciiTheme="majorHAnsi" w:hAnsiTheme="majorHAnsi" w:cstheme="majorHAnsi"/>
                <w:spacing w:val="-3"/>
                <w:lang w:eastAsia="es-ES"/>
              </w:rPr>
              <w:t xml:space="preserve"> </w:t>
            </w:r>
            <w:r w:rsidRPr="00FF4F7F">
              <w:rPr>
                <w:rFonts w:asciiTheme="majorHAnsi" w:hAnsiTheme="majorHAnsi" w:cstheme="majorHAnsi"/>
                <w:lang w:eastAsia="es-ES"/>
              </w:rPr>
              <w:t>penal (art. 11 y 250-6 CNP. Art. 11, 132, 133 del C.P.P)</w:t>
            </w:r>
          </w:p>
          <w:p w14:paraId="39835D95"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Quienes deben indemnizar (art. 1494 y 2341 del C. C. Art. 94, 96 y del C. P)  </w:t>
            </w:r>
          </w:p>
          <w:p w14:paraId="7FA9E1E9"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Medidas cautelares (art. 83 C.P.P)</w:t>
            </w:r>
          </w:p>
          <w:p w14:paraId="334C9E1B"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Embargo y secuestro de bienes</w:t>
            </w:r>
          </w:p>
          <w:p w14:paraId="1D5A5265" w14:textId="77777777" w:rsidR="00C12F04" w:rsidRPr="00FF4F7F" w:rsidRDefault="00C12F04"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Procedencia (art. 92 y ss.  C.P.P) </w:t>
            </w:r>
          </w:p>
          <w:p w14:paraId="2D17A557" w14:textId="77777777" w:rsidR="00C12F04" w:rsidRPr="00FF4F7F" w:rsidRDefault="00C12F04"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Desembargo (art. 96 C.P.P)</w:t>
            </w:r>
          </w:p>
          <w:p w14:paraId="7F2EBA5E" w14:textId="77777777" w:rsidR="00C12F04" w:rsidRPr="00FF4F7F" w:rsidRDefault="00C12F04"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Embargo especial</w:t>
            </w:r>
          </w:p>
          <w:p w14:paraId="3EB09817"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Otras formas del restablecimiento del</w:t>
            </w:r>
            <w:r w:rsidRPr="00FF4F7F">
              <w:rPr>
                <w:rFonts w:asciiTheme="majorHAnsi" w:hAnsiTheme="majorHAnsi" w:cstheme="majorHAnsi"/>
                <w:spacing w:val="-2"/>
                <w:lang w:eastAsia="es-ES"/>
              </w:rPr>
              <w:t xml:space="preserve"> </w:t>
            </w:r>
            <w:r w:rsidRPr="00FF4F7F">
              <w:rPr>
                <w:rFonts w:asciiTheme="majorHAnsi" w:hAnsiTheme="majorHAnsi" w:cstheme="majorHAnsi"/>
                <w:lang w:eastAsia="es-ES"/>
              </w:rPr>
              <w:t>derecho</w:t>
            </w:r>
          </w:p>
          <w:p w14:paraId="17C79295"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val="en-US" w:eastAsia="es-ES"/>
              </w:rPr>
            </w:pPr>
            <w:proofErr w:type="spellStart"/>
            <w:r w:rsidRPr="00FF4F7F">
              <w:rPr>
                <w:rFonts w:asciiTheme="majorHAnsi" w:hAnsiTheme="majorHAnsi" w:cstheme="majorHAnsi"/>
                <w:lang w:val="en-US" w:eastAsia="es-ES"/>
              </w:rPr>
              <w:t>Comiso</w:t>
            </w:r>
            <w:proofErr w:type="spellEnd"/>
            <w:r w:rsidRPr="00FF4F7F">
              <w:rPr>
                <w:rFonts w:asciiTheme="majorHAnsi" w:hAnsiTheme="majorHAnsi" w:cstheme="majorHAnsi"/>
                <w:lang w:val="en-US" w:eastAsia="es-ES"/>
              </w:rPr>
              <w:t xml:space="preserve"> (art. 82 C.P.P)</w:t>
            </w:r>
          </w:p>
          <w:p w14:paraId="5E4F2B01"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val="es-CO" w:eastAsia="es-ES"/>
              </w:rPr>
            </w:pPr>
            <w:r w:rsidRPr="00FF4F7F">
              <w:rPr>
                <w:rFonts w:asciiTheme="majorHAnsi" w:hAnsiTheme="majorHAnsi" w:cstheme="majorHAnsi"/>
                <w:lang w:val="es-CO" w:eastAsia="es-ES"/>
              </w:rPr>
              <w:t>Prohibición de enajenar (art. 97 C.P.P)</w:t>
            </w:r>
          </w:p>
          <w:p w14:paraId="1E31AD24"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val="es-CO" w:eastAsia="es-ES"/>
              </w:rPr>
            </w:pPr>
            <w:r w:rsidRPr="00FF4F7F">
              <w:rPr>
                <w:rFonts w:asciiTheme="majorHAnsi" w:hAnsiTheme="majorHAnsi" w:cstheme="majorHAnsi"/>
                <w:lang w:val="es-CO" w:eastAsia="es-ES"/>
              </w:rPr>
              <w:t>Restitución del objeto material e instrumento del delito (art.99 C.P.P)</w:t>
            </w:r>
          </w:p>
          <w:p w14:paraId="72CC0781"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val="es-CO" w:eastAsia="es-ES"/>
              </w:rPr>
            </w:pPr>
            <w:r w:rsidRPr="00FF4F7F">
              <w:rPr>
                <w:rFonts w:asciiTheme="majorHAnsi" w:hAnsiTheme="majorHAnsi" w:cstheme="majorHAnsi"/>
                <w:lang w:val="es-CO" w:eastAsia="es-ES"/>
              </w:rPr>
              <w:t>Cancelación de títulos obtenidos fraudulentamente (art. 101 C.P.P)</w:t>
            </w:r>
          </w:p>
          <w:p w14:paraId="1848E05E"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val="es-CO" w:eastAsia="es-ES"/>
              </w:rPr>
            </w:pPr>
            <w:r w:rsidRPr="00FF4F7F">
              <w:rPr>
                <w:rFonts w:asciiTheme="majorHAnsi" w:hAnsiTheme="majorHAnsi" w:cstheme="majorHAnsi"/>
                <w:lang w:val="es-CO" w:eastAsia="es-ES"/>
              </w:rPr>
              <w:t>Liquidación de perjuicios -remate de bienes</w:t>
            </w:r>
          </w:p>
          <w:p w14:paraId="3ED43D68"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val="es-CO" w:eastAsia="es-ES"/>
              </w:rPr>
            </w:pPr>
            <w:r w:rsidRPr="00FF4F7F">
              <w:rPr>
                <w:rFonts w:asciiTheme="majorHAnsi" w:hAnsiTheme="majorHAnsi" w:cstheme="majorHAnsi"/>
                <w:lang w:val="es-CO" w:eastAsia="es-ES"/>
              </w:rPr>
              <w:lastRenderedPageBreak/>
              <w:t>Efectos de la cosa juzgada penal absolutoria (art. 334 C.P.P)</w:t>
            </w:r>
          </w:p>
          <w:p w14:paraId="6F448EA7"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val="es-CO" w:eastAsia="es-ES"/>
              </w:rPr>
            </w:pPr>
            <w:r w:rsidRPr="00FF4F7F">
              <w:rPr>
                <w:rFonts w:asciiTheme="majorHAnsi" w:hAnsiTheme="majorHAnsi" w:cstheme="majorHAnsi"/>
                <w:lang w:val="es-CO" w:eastAsia="es-ES"/>
              </w:rPr>
              <w:t xml:space="preserve">Ejercicio del incidente de reparación integral (art. 102 y s.s. C.P.P) </w:t>
            </w:r>
          </w:p>
          <w:p w14:paraId="34218EA3"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val="es-CO" w:eastAsia="es-ES"/>
              </w:rPr>
            </w:pPr>
            <w:r w:rsidRPr="00FF4F7F">
              <w:rPr>
                <w:rFonts w:asciiTheme="majorHAnsi" w:hAnsiTheme="majorHAnsi" w:cstheme="majorHAnsi"/>
                <w:lang w:val="es-CO" w:eastAsia="es-ES"/>
              </w:rPr>
              <w:t>Extinción de dominio (Art. 34 y 58 de la CNP. Art. 80, 84 y 88 del C.P.P.  Ley 1708 de 2014, Por medio de la cual se expide el Código de Extinción de Dominio)</w:t>
            </w:r>
          </w:p>
          <w:p w14:paraId="5D91430C" w14:textId="77777777" w:rsidR="00C12F04" w:rsidRPr="00FF4F7F" w:rsidRDefault="00C12F04"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PARTES E INTERVINIENTES EN EL PROCESO</w:t>
            </w:r>
            <w:r w:rsidRPr="00FF4F7F">
              <w:rPr>
                <w:rFonts w:asciiTheme="majorHAnsi" w:hAnsiTheme="majorHAnsi" w:cstheme="majorHAnsi"/>
                <w:b/>
                <w:spacing w:val="-3"/>
                <w:lang w:eastAsia="es-ES"/>
              </w:rPr>
              <w:t xml:space="preserve"> </w:t>
            </w:r>
            <w:r w:rsidRPr="00FF4F7F">
              <w:rPr>
                <w:rFonts w:asciiTheme="majorHAnsi" w:hAnsiTheme="majorHAnsi" w:cstheme="majorHAnsi"/>
                <w:b/>
                <w:lang w:eastAsia="es-ES"/>
              </w:rPr>
              <w:t>PENAL</w:t>
            </w:r>
          </w:p>
          <w:p w14:paraId="28C5FB1A"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Noción</w:t>
            </w:r>
          </w:p>
          <w:p w14:paraId="4E3EE2D2"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Titularidad de poder jurisdiccional</w:t>
            </w:r>
          </w:p>
          <w:p w14:paraId="5D906BFA"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Fiscalía General de la Nación (art. 113 y 114 C.P.P)</w:t>
            </w:r>
          </w:p>
          <w:p w14:paraId="088B3FEC"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Composición</w:t>
            </w:r>
          </w:p>
          <w:p w14:paraId="611FFC00"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Atribuciones generales y especiales (art. 66, 114, 116 y 142 del C.P.P. y art. 250 y 251 de la C.N.)</w:t>
            </w:r>
          </w:p>
          <w:p w14:paraId="23137FD7"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Policía judicial (art. 117 C.P.P)</w:t>
            </w:r>
          </w:p>
          <w:p w14:paraId="3E1C2DE7"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Ministerio público (art. 109 y s.s. C.P.P)</w:t>
            </w:r>
          </w:p>
          <w:p w14:paraId="5A19C5BE"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Composición </w:t>
            </w:r>
          </w:p>
          <w:p w14:paraId="29C3E729"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Funciones (art. 111 C.P.P)</w:t>
            </w:r>
          </w:p>
          <w:p w14:paraId="5B87E144"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Indiciado, imputado y</w:t>
            </w:r>
            <w:r w:rsidRPr="00FF4F7F">
              <w:rPr>
                <w:rFonts w:asciiTheme="majorHAnsi" w:hAnsiTheme="majorHAnsi" w:cstheme="majorHAnsi"/>
                <w:spacing w:val="-5"/>
                <w:lang w:eastAsia="es-ES"/>
              </w:rPr>
              <w:t xml:space="preserve"> </w:t>
            </w:r>
            <w:r w:rsidRPr="00FF4F7F">
              <w:rPr>
                <w:rFonts w:asciiTheme="majorHAnsi" w:hAnsiTheme="majorHAnsi" w:cstheme="majorHAnsi"/>
                <w:lang w:eastAsia="es-ES"/>
              </w:rPr>
              <w:t>acusado (art. 127 C.P.P)</w:t>
            </w:r>
          </w:p>
          <w:p w14:paraId="06D9D196"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Facultades (art. 267 y </w:t>
            </w:r>
            <w:proofErr w:type="gramStart"/>
            <w:r w:rsidRPr="00FF4F7F">
              <w:rPr>
                <w:rFonts w:asciiTheme="majorHAnsi" w:hAnsiTheme="majorHAnsi" w:cstheme="majorHAnsi"/>
                <w:lang w:eastAsia="es-ES"/>
              </w:rPr>
              <w:t>268  C.P.P</w:t>
            </w:r>
            <w:proofErr w:type="gramEnd"/>
            <w:r w:rsidRPr="00FF4F7F">
              <w:rPr>
                <w:rFonts w:asciiTheme="majorHAnsi" w:hAnsiTheme="majorHAnsi" w:cstheme="majorHAnsi"/>
                <w:lang w:eastAsia="es-ES"/>
              </w:rPr>
              <w:t>)</w:t>
            </w:r>
          </w:p>
          <w:p w14:paraId="6D4A1FD6"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lang w:val="en-US" w:eastAsia="es-ES"/>
              </w:rPr>
            </w:pPr>
            <w:r w:rsidRPr="00FF4F7F">
              <w:rPr>
                <w:rFonts w:asciiTheme="majorHAnsi" w:hAnsiTheme="majorHAnsi" w:cstheme="majorHAnsi"/>
                <w:lang w:val="en-US" w:eastAsia="es-ES"/>
              </w:rPr>
              <w:t xml:space="preserve">Defensor (art. </w:t>
            </w:r>
            <w:proofErr w:type="gramStart"/>
            <w:r w:rsidRPr="00FF4F7F">
              <w:rPr>
                <w:rFonts w:asciiTheme="majorHAnsi" w:hAnsiTheme="majorHAnsi" w:cstheme="majorHAnsi"/>
                <w:lang w:val="en-US" w:eastAsia="es-ES"/>
              </w:rPr>
              <w:t>118  C.P.P</w:t>
            </w:r>
            <w:proofErr w:type="gramEnd"/>
            <w:r w:rsidRPr="00FF4F7F">
              <w:rPr>
                <w:rFonts w:asciiTheme="majorHAnsi" w:hAnsiTheme="majorHAnsi" w:cstheme="majorHAnsi"/>
                <w:lang w:val="en-US" w:eastAsia="es-ES"/>
              </w:rPr>
              <w:t>)</w:t>
            </w:r>
          </w:p>
          <w:p w14:paraId="4FB4455C"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Requisitos</w:t>
            </w:r>
          </w:p>
          <w:p w14:paraId="51D5B48F"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Vigencia y oportunidad para el nombramiento del defensor (art.119 C.P.P) </w:t>
            </w:r>
          </w:p>
          <w:p w14:paraId="0E7CBF7F"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Clases de defensor (art. 118 y 303 #4 C.P.P) </w:t>
            </w:r>
          </w:p>
          <w:p w14:paraId="62CB340A" w14:textId="57D6234D" w:rsidR="00C12F04"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Defensor de confianza</w:t>
            </w:r>
          </w:p>
          <w:p w14:paraId="4D15211B" w14:textId="77777777" w:rsidR="007A4EB5" w:rsidRPr="00FF4F7F" w:rsidRDefault="007A4EB5" w:rsidP="00386C4D">
            <w:pPr>
              <w:widowControl w:val="0"/>
              <w:tabs>
                <w:tab w:val="left" w:pos="602"/>
              </w:tabs>
              <w:autoSpaceDE w:val="0"/>
              <w:autoSpaceDN w:val="0"/>
              <w:ind w:left="1204"/>
              <w:contextualSpacing/>
              <w:rPr>
                <w:rFonts w:asciiTheme="majorHAnsi" w:hAnsiTheme="majorHAnsi" w:cstheme="majorHAnsi"/>
                <w:lang w:eastAsia="es-ES"/>
              </w:rPr>
            </w:pPr>
          </w:p>
          <w:p w14:paraId="289859B9"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Defensor público</w:t>
            </w:r>
          </w:p>
          <w:p w14:paraId="77B6CBDF"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Incompatibilidad de la defensa (art. 122 C.P.P)</w:t>
            </w:r>
          </w:p>
          <w:p w14:paraId="3AB816A9"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Apoderados suplentes (art. 121 C.P.P)</w:t>
            </w:r>
          </w:p>
          <w:p w14:paraId="434A138E"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Sustitución de poder (art. 123 C.P.P)</w:t>
            </w:r>
          </w:p>
          <w:p w14:paraId="0BDD1757"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Personas habilitadas para la defensa</w:t>
            </w:r>
          </w:p>
          <w:p w14:paraId="3BD51589" w14:textId="77777777" w:rsidR="00C12F04" w:rsidRPr="00FF4F7F" w:rsidRDefault="00C12F04"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Víctimas</w:t>
            </w:r>
          </w:p>
          <w:p w14:paraId="78A7F3B2"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val="en-US" w:eastAsia="es-ES"/>
              </w:rPr>
            </w:pPr>
            <w:proofErr w:type="spellStart"/>
            <w:r w:rsidRPr="00FF4F7F">
              <w:rPr>
                <w:rFonts w:asciiTheme="majorHAnsi" w:hAnsiTheme="majorHAnsi" w:cstheme="majorHAnsi"/>
                <w:lang w:val="en-US" w:eastAsia="es-ES"/>
              </w:rPr>
              <w:t>Concepto</w:t>
            </w:r>
            <w:proofErr w:type="spellEnd"/>
            <w:r w:rsidRPr="00FF4F7F">
              <w:rPr>
                <w:rFonts w:asciiTheme="majorHAnsi" w:hAnsiTheme="majorHAnsi" w:cstheme="majorHAnsi"/>
                <w:lang w:val="en-US" w:eastAsia="es-ES"/>
              </w:rPr>
              <w:t xml:space="preserve"> (art. 132 C.P.P)</w:t>
            </w:r>
          </w:p>
          <w:p w14:paraId="5E3CE614"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Medidas de atención y protección a las</w:t>
            </w:r>
            <w:r w:rsidRPr="00FF4F7F">
              <w:rPr>
                <w:rFonts w:asciiTheme="majorHAnsi" w:hAnsiTheme="majorHAnsi" w:cstheme="majorHAnsi"/>
                <w:spacing w:val="-8"/>
                <w:lang w:eastAsia="es-ES"/>
              </w:rPr>
              <w:t xml:space="preserve"> </w:t>
            </w:r>
            <w:r w:rsidRPr="00FF4F7F">
              <w:rPr>
                <w:rFonts w:asciiTheme="majorHAnsi" w:hAnsiTheme="majorHAnsi" w:cstheme="majorHAnsi"/>
                <w:lang w:eastAsia="es-ES"/>
              </w:rPr>
              <w:t xml:space="preserve">víctimas (art. 133 y </w:t>
            </w:r>
            <w:proofErr w:type="gramStart"/>
            <w:r w:rsidRPr="00FF4F7F">
              <w:rPr>
                <w:rFonts w:asciiTheme="majorHAnsi" w:hAnsiTheme="majorHAnsi" w:cstheme="majorHAnsi"/>
                <w:lang w:eastAsia="es-ES"/>
              </w:rPr>
              <w:t>134  C.P.P</w:t>
            </w:r>
            <w:proofErr w:type="gramEnd"/>
            <w:r w:rsidRPr="00FF4F7F">
              <w:rPr>
                <w:rFonts w:asciiTheme="majorHAnsi" w:hAnsiTheme="majorHAnsi" w:cstheme="majorHAnsi"/>
                <w:lang w:eastAsia="es-ES"/>
              </w:rPr>
              <w:t xml:space="preserve">)  </w:t>
            </w:r>
          </w:p>
          <w:p w14:paraId="61537531"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Derechos e intervención de las víctimas en el proceso penal (art. 11, 135, 136 y </w:t>
            </w:r>
            <w:proofErr w:type="gramStart"/>
            <w:r w:rsidRPr="00FF4F7F">
              <w:rPr>
                <w:rFonts w:asciiTheme="majorHAnsi" w:hAnsiTheme="majorHAnsi" w:cstheme="majorHAnsi"/>
                <w:lang w:eastAsia="es-ES"/>
              </w:rPr>
              <w:t>137  C.P.P</w:t>
            </w:r>
            <w:proofErr w:type="gramEnd"/>
            <w:r w:rsidRPr="00FF4F7F">
              <w:rPr>
                <w:rFonts w:asciiTheme="majorHAnsi" w:hAnsiTheme="majorHAnsi" w:cstheme="majorHAnsi"/>
                <w:lang w:eastAsia="es-ES"/>
              </w:rPr>
              <w:t>)</w:t>
            </w:r>
          </w:p>
          <w:p w14:paraId="59C3B02A"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Deberes de los servidores públicos (art. 138 y s.s.  C.P.P)</w:t>
            </w:r>
          </w:p>
          <w:p w14:paraId="434A3385"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Deberes de las partes intervinientes (art. 140 C.P.P)</w:t>
            </w:r>
          </w:p>
          <w:p w14:paraId="10A73D40" w14:textId="77777777" w:rsidR="00C12F04" w:rsidRPr="00FF4F7F" w:rsidRDefault="00C12F04"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Deberes de la </w:t>
            </w:r>
            <w:proofErr w:type="gramStart"/>
            <w:r w:rsidRPr="00FF4F7F">
              <w:rPr>
                <w:rFonts w:asciiTheme="majorHAnsi" w:hAnsiTheme="majorHAnsi" w:cstheme="majorHAnsi"/>
                <w:lang w:eastAsia="es-ES"/>
              </w:rPr>
              <w:t>Fiscalía General</w:t>
            </w:r>
            <w:proofErr w:type="gramEnd"/>
            <w:r w:rsidRPr="00FF4F7F">
              <w:rPr>
                <w:rFonts w:asciiTheme="majorHAnsi" w:hAnsiTheme="majorHAnsi" w:cstheme="majorHAnsi"/>
                <w:lang w:eastAsia="es-ES"/>
              </w:rPr>
              <w:t xml:space="preserve"> de la Nación (art. 142 del C.P.P. y 250 de la C.N.)</w:t>
            </w:r>
          </w:p>
          <w:p w14:paraId="142CBC09" w14:textId="390156E0" w:rsidR="00C12F04" w:rsidRPr="007A4EB5" w:rsidRDefault="00C12F04" w:rsidP="00386C4D">
            <w:pPr>
              <w:widowControl w:val="0"/>
              <w:numPr>
                <w:ilvl w:val="1"/>
                <w:numId w:val="21"/>
              </w:numPr>
              <w:tabs>
                <w:tab w:val="left" w:pos="602"/>
              </w:tabs>
              <w:autoSpaceDE w:val="0"/>
              <w:autoSpaceDN w:val="0"/>
              <w:contextualSpacing/>
              <w:rPr>
                <w:rFonts w:asciiTheme="majorHAnsi" w:hAnsiTheme="majorHAnsi" w:cstheme="majorHAnsi"/>
                <w:lang w:val="es-CO" w:eastAsia="es-ES"/>
              </w:rPr>
            </w:pPr>
            <w:r w:rsidRPr="00FF4F7F">
              <w:rPr>
                <w:rFonts w:asciiTheme="majorHAnsi" w:hAnsiTheme="majorHAnsi" w:cstheme="majorHAnsi"/>
                <w:lang w:eastAsia="es-ES"/>
              </w:rPr>
              <w:t>De los poderes y medidas</w:t>
            </w:r>
            <w:r w:rsidRPr="00FF4F7F">
              <w:rPr>
                <w:rFonts w:asciiTheme="majorHAnsi" w:hAnsiTheme="majorHAnsi" w:cstheme="majorHAnsi"/>
                <w:spacing w:val="-5"/>
                <w:lang w:eastAsia="es-ES"/>
              </w:rPr>
              <w:t xml:space="preserve"> </w:t>
            </w:r>
            <w:r w:rsidRPr="00FF4F7F">
              <w:rPr>
                <w:rFonts w:asciiTheme="majorHAnsi" w:hAnsiTheme="majorHAnsi" w:cstheme="majorHAnsi"/>
                <w:lang w:eastAsia="es-ES"/>
              </w:rPr>
              <w:t>correccionales (art. 139 C.P.P)</w:t>
            </w:r>
          </w:p>
          <w:p w14:paraId="036EAD1D" w14:textId="47F3EDED" w:rsidR="007A4EB5" w:rsidRDefault="007A4EB5" w:rsidP="00386C4D">
            <w:pPr>
              <w:widowControl w:val="0"/>
              <w:tabs>
                <w:tab w:val="left" w:pos="602"/>
              </w:tabs>
              <w:autoSpaceDE w:val="0"/>
              <w:autoSpaceDN w:val="0"/>
              <w:contextualSpacing/>
              <w:rPr>
                <w:rFonts w:asciiTheme="majorHAnsi" w:hAnsiTheme="majorHAnsi" w:cstheme="majorHAnsi"/>
                <w:lang w:val="es-CO" w:eastAsia="es-ES"/>
              </w:rPr>
            </w:pPr>
          </w:p>
          <w:p w14:paraId="135ECC39" w14:textId="77777777" w:rsidR="007A4EB5" w:rsidRPr="00FF4F7F" w:rsidRDefault="007A4EB5"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PREJUDICIALIDAD</w:t>
            </w:r>
          </w:p>
          <w:p w14:paraId="36CD54CA"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lastRenderedPageBreak/>
              <w:t>Concepto (artículo 154 de la Ley 600 de 2000)</w:t>
            </w:r>
          </w:p>
          <w:p w14:paraId="7E3A980E" w14:textId="3EA3E45F" w:rsidR="007A4EB5"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Teoría para resolver a</w:t>
            </w:r>
            <w:r w:rsidRPr="00FF4F7F">
              <w:rPr>
                <w:rFonts w:asciiTheme="majorHAnsi" w:hAnsiTheme="majorHAnsi" w:cstheme="majorHAnsi"/>
                <w:spacing w:val="-6"/>
                <w:lang w:eastAsia="es-ES"/>
              </w:rPr>
              <w:t xml:space="preserve"> </w:t>
            </w:r>
            <w:r w:rsidRPr="00FF4F7F">
              <w:rPr>
                <w:rFonts w:asciiTheme="majorHAnsi" w:hAnsiTheme="majorHAnsi" w:cstheme="majorHAnsi"/>
                <w:lang w:eastAsia="es-ES"/>
              </w:rPr>
              <w:t>prejudicialidad</w:t>
            </w:r>
          </w:p>
          <w:p w14:paraId="307CE901" w14:textId="430392B2" w:rsidR="007A4EB5" w:rsidRDefault="007A4EB5" w:rsidP="00386C4D">
            <w:pPr>
              <w:widowControl w:val="0"/>
              <w:tabs>
                <w:tab w:val="left" w:pos="602"/>
              </w:tabs>
              <w:autoSpaceDE w:val="0"/>
              <w:autoSpaceDN w:val="0"/>
              <w:contextualSpacing/>
              <w:rPr>
                <w:rFonts w:asciiTheme="majorHAnsi" w:hAnsiTheme="majorHAnsi" w:cstheme="majorHAnsi"/>
                <w:lang w:eastAsia="es-ES"/>
              </w:rPr>
            </w:pPr>
          </w:p>
          <w:p w14:paraId="04847BB6" w14:textId="77777777" w:rsidR="007A4EB5" w:rsidRPr="00FF4F7F" w:rsidRDefault="007A4EB5"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ACTUACIÓN PROCESAL</w:t>
            </w:r>
          </w:p>
          <w:p w14:paraId="698AB3AE"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Aspectos Generales (art. 144 y 145 C.P.P)</w:t>
            </w:r>
          </w:p>
          <w:p w14:paraId="091C0DC1"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Requisitos formales de la actuación-medios técnicos (art. 146 C.P.P)</w:t>
            </w:r>
          </w:p>
          <w:p w14:paraId="14485C0A"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Publicidad de los procedimientos (art. 149 y 145 C.P.P)</w:t>
            </w:r>
          </w:p>
          <w:p w14:paraId="36FFA494"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Principio de publicidad (art. 18 C.P.P)</w:t>
            </w:r>
          </w:p>
          <w:p w14:paraId="08599D68"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Restricciones al principio de publicidad (art. 18 C.P.P)</w:t>
            </w:r>
          </w:p>
          <w:p w14:paraId="70F857E0"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Audiencias preliminares (art. 153 y 154 C.P.P)</w:t>
            </w:r>
          </w:p>
          <w:p w14:paraId="025015F4"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Términos procesales (art. 156 y s.s.  C.P.P)</w:t>
            </w:r>
          </w:p>
          <w:p w14:paraId="5566E291"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Providencias judiciales (art. 161 C.P.P)</w:t>
            </w:r>
          </w:p>
          <w:p w14:paraId="670EC5F8"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Clases</w:t>
            </w:r>
          </w:p>
          <w:p w14:paraId="3CCD9E26"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Requisitos comunes (art. 162 C.P.P)</w:t>
            </w:r>
          </w:p>
          <w:p w14:paraId="3738F697"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Comunicación de la sentencia e información de su ejecutoria (art. 166 C.P.P)</w:t>
            </w:r>
          </w:p>
          <w:p w14:paraId="1F58D014"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Notificación de las providencias, citaciones y comunicaciones entre los intervinientes en el proceso penal (art. 168 y ss.  C.P.P)</w:t>
            </w:r>
          </w:p>
          <w:p w14:paraId="2D336536"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Duración de la actuación (art. 175 C.P.P)</w:t>
            </w:r>
          </w:p>
          <w:p w14:paraId="27BE8935"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Recursos ordinarios (art. 176 C.P.P)</w:t>
            </w:r>
          </w:p>
          <w:p w14:paraId="53A27FC2"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Clases</w:t>
            </w:r>
          </w:p>
          <w:p w14:paraId="1C0C1696" w14:textId="77777777" w:rsidR="007A4EB5" w:rsidRPr="00FF4F7F" w:rsidRDefault="007A4EB5"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Reposición</w:t>
            </w:r>
          </w:p>
          <w:p w14:paraId="16CB3B8E" w14:textId="77777777" w:rsidR="007A4EB5" w:rsidRPr="00FF4F7F" w:rsidRDefault="007A4EB5"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Apelación</w:t>
            </w:r>
          </w:p>
          <w:p w14:paraId="0DB87FDF" w14:textId="77777777" w:rsidR="007A4EB5" w:rsidRPr="00FF4F7F" w:rsidRDefault="007A4EB5"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Queja</w:t>
            </w:r>
          </w:p>
          <w:p w14:paraId="7A0E33D9"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Efectos en que se conceden (art. 177 C.P.P)</w:t>
            </w:r>
          </w:p>
          <w:p w14:paraId="0DE8019F"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Trámite y decisión</w:t>
            </w:r>
          </w:p>
          <w:p w14:paraId="1892F8EC"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Recursos extraordinarios</w:t>
            </w:r>
          </w:p>
          <w:p w14:paraId="59642623"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Casación</w:t>
            </w:r>
          </w:p>
          <w:p w14:paraId="7217F397" w14:textId="77777777" w:rsidR="007A4EB5" w:rsidRPr="00FF4F7F" w:rsidRDefault="007A4EB5" w:rsidP="00386C4D">
            <w:pPr>
              <w:widowControl w:val="0"/>
              <w:numPr>
                <w:ilvl w:val="3"/>
                <w:numId w:val="21"/>
              </w:numPr>
              <w:tabs>
                <w:tab w:val="left" w:pos="602"/>
              </w:tabs>
              <w:autoSpaceDE w:val="0"/>
              <w:autoSpaceDN w:val="0"/>
              <w:contextualSpacing/>
              <w:rPr>
                <w:rFonts w:asciiTheme="majorHAnsi" w:hAnsiTheme="majorHAnsi" w:cstheme="majorHAnsi"/>
                <w:lang w:val="en-US" w:eastAsia="es-ES"/>
              </w:rPr>
            </w:pPr>
            <w:proofErr w:type="spellStart"/>
            <w:r w:rsidRPr="00FF4F7F">
              <w:rPr>
                <w:rFonts w:asciiTheme="majorHAnsi" w:hAnsiTheme="majorHAnsi" w:cstheme="majorHAnsi"/>
                <w:lang w:val="en-US" w:eastAsia="es-ES"/>
              </w:rPr>
              <w:t>Finalidad</w:t>
            </w:r>
            <w:proofErr w:type="spellEnd"/>
            <w:r w:rsidRPr="00FF4F7F">
              <w:rPr>
                <w:rFonts w:asciiTheme="majorHAnsi" w:hAnsiTheme="majorHAnsi" w:cstheme="majorHAnsi"/>
                <w:lang w:val="en-US" w:eastAsia="es-ES"/>
              </w:rPr>
              <w:t xml:space="preserve"> (art. 180 C.P.P)</w:t>
            </w:r>
          </w:p>
          <w:p w14:paraId="1BE8D0C2" w14:textId="77777777" w:rsidR="007A4EB5" w:rsidRPr="00FF4F7F" w:rsidRDefault="007A4EB5"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Procedencia (art. 181 C.P.P)</w:t>
            </w:r>
          </w:p>
          <w:p w14:paraId="4D9D6157" w14:textId="77777777" w:rsidR="007A4EB5" w:rsidRPr="00FF4F7F" w:rsidRDefault="007A4EB5"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Legitimación y oportunidad (art. 182 C.P.P)</w:t>
            </w:r>
          </w:p>
          <w:p w14:paraId="29AC2FA8" w14:textId="77777777" w:rsidR="007A4EB5" w:rsidRPr="00FF4F7F" w:rsidRDefault="007A4EB5"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Admisión y decisión (art. 184 y 185 C.P.P)</w:t>
            </w:r>
          </w:p>
          <w:p w14:paraId="4DAD0CD5" w14:textId="77777777" w:rsidR="007A4EB5" w:rsidRPr="00FF4F7F" w:rsidRDefault="007A4EB5"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Acumulación de fallos (art. 186 C.P.P)</w:t>
            </w:r>
          </w:p>
          <w:p w14:paraId="02D22831" w14:textId="77777777" w:rsidR="007A4EB5" w:rsidRPr="00FF4F7F" w:rsidRDefault="007A4EB5"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Límites de la sentencia de casación</w:t>
            </w:r>
          </w:p>
          <w:p w14:paraId="535C86FD"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Revisión (art. 192 C.P.P)</w:t>
            </w:r>
          </w:p>
          <w:p w14:paraId="1FB371AE" w14:textId="77777777" w:rsidR="007A4EB5" w:rsidRPr="00FF4F7F" w:rsidRDefault="007A4EB5"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Diferencias con el recurso de casación</w:t>
            </w:r>
          </w:p>
          <w:p w14:paraId="421CDB8E" w14:textId="77777777" w:rsidR="007A4EB5" w:rsidRPr="00FF4F7F" w:rsidRDefault="007A4EB5"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Titulares de la acción de revisión (art. 196 C.P.P)</w:t>
            </w:r>
          </w:p>
          <w:p w14:paraId="681FAB07" w14:textId="77777777" w:rsidR="007A4EB5" w:rsidRPr="00FF4F7F" w:rsidRDefault="007A4EB5" w:rsidP="00386C4D">
            <w:pPr>
              <w:widowControl w:val="0"/>
              <w:numPr>
                <w:ilvl w:val="3"/>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Providencias que admiten revisión (art. 192 C.P.P)</w:t>
            </w:r>
          </w:p>
          <w:p w14:paraId="21F12095" w14:textId="77777777" w:rsidR="007A4EB5" w:rsidRPr="00FF4F7F" w:rsidRDefault="007A4EB5" w:rsidP="00386C4D">
            <w:pPr>
              <w:widowControl w:val="0"/>
              <w:numPr>
                <w:ilvl w:val="3"/>
                <w:numId w:val="21"/>
              </w:numPr>
              <w:tabs>
                <w:tab w:val="left" w:pos="602"/>
              </w:tabs>
              <w:autoSpaceDE w:val="0"/>
              <w:autoSpaceDN w:val="0"/>
              <w:contextualSpacing/>
              <w:rPr>
                <w:rFonts w:asciiTheme="majorHAnsi" w:hAnsiTheme="majorHAnsi" w:cstheme="majorHAnsi"/>
                <w:lang w:val="en-US" w:eastAsia="es-ES"/>
              </w:rPr>
            </w:pPr>
            <w:proofErr w:type="spellStart"/>
            <w:r w:rsidRPr="00FF4F7F">
              <w:rPr>
                <w:rFonts w:asciiTheme="majorHAnsi" w:hAnsiTheme="majorHAnsi" w:cstheme="majorHAnsi"/>
                <w:lang w:val="en-US" w:eastAsia="es-ES"/>
              </w:rPr>
              <w:t>Causales</w:t>
            </w:r>
            <w:proofErr w:type="spellEnd"/>
            <w:r w:rsidRPr="00FF4F7F">
              <w:rPr>
                <w:rFonts w:asciiTheme="majorHAnsi" w:hAnsiTheme="majorHAnsi" w:cstheme="majorHAnsi"/>
                <w:lang w:val="en-US" w:eastAsia="es-ES"/>
              </w:rPr>
              <w:t xml:space="preserve"> (art. 192 C.P.P)</w:t>
            </w:r>
          </w:p>
          <w:p w14:paraId="7B1F8D81" w14:textId="77777777" w:rsidR="007A4EB5" w:rsidRPr="007A4EB5" w:rsidRDefault="007A4EB5" w:rsidP="00386C4D">
            <w:pPr>
              <w:widowControl w:val="0"/>
              <w:tabs>
                <w:tab w:val="left" w:pos="602"/>
              </w:tabs>
              <w:autoSpaceDE w:val="0"/>
              <w:autoSpaceDN w:val="0"/>
              <w:contextualSpacing/>
              <w:rPr>
                <w:rFonts w:asciiTheme="majorHAnsi" w:hAnsiTheme="majorHAnsi" w:cstheme="majorHAnsi"/>
                <w:lang w:val="en-US" w:eastAsia="es-ES"/>
              </w:rPr>
            </w:pPr>
          </w:p>
          <w:p w14:paraId="6DC042C5" w14:textId="77777777" w:rsidR="007A4EB5" w:rsidRPr="00FF4F7F" w:rsidRDefault="007A4EB5"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lastRenderedPageBreak/>
              <w:t>LA INDAGACIÓN Y LA INVESTIGACIÓN</w:t>
            </w:r>
          </w:p>
          <w:p w14:paraId="03CE738F"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Órganos de indagación e investigación (art. 200 C.P.P)</w:t>
            </w:r>
          </w:p>
          <w:p w14:paraId="2233EF52"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Órganos de policía judicial permanente (art. 201 C.P.P)</w:t>
            </w:r>
          </w:p>
          <w:p w14:paraId="3D70E35F"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Órganos que ejercen transitoriamente funciones de policía judicial (art. 203 C.P.P)</w:t>
            </w:r>
          </w:p>
          <w:p w14:paraId="2ECF9166"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Órgano técnico-científico (art. 204 C.P.P)</w:t>
            </w:r>
          </w:p>
          <w:p w14:paraId="6C09C062"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Actividad de policía judicial en la indagación e investigación (art. 205 C.P.P)</w:t>
            </w:r>
          </w:p>
          <w:p w14:paraId="4D2650A2"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Entrevistas (art. 206)</w:t>
            </w:r>
          </w:p>
          <w:p w14:paraId="51F03962"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Programa metodológico (art. 207 C.P.P)</w:t>
            </w:r>
          </w:p>
          <w:p w14:paraId="07D638F9"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Actividad de policía (art. 208 C.P.P)</w:t>
            </w:r>
          </w:p>
          <w:p w14:paraId="4054702A"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Informe de investigadores de campo, laboratorio y tareas especiales (art. 209 y 210 C.P.P)</w:t>
            </w:r>
          </w:p>
          <w:p w14:paraId="025FCE95"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Análisis de la actividad de policía judicial en la indagación e investigación (art. 212 C.P.P)</w:t>
            </w:r>
          </w:p>
          <w:p w14:paraId="3084DD02" w14:textId="6E39B954" w:rsidR="007A4EB5"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Actividades de investigación según injerencia en derechos fundamentales</w:t>
            </w:r>
          </w:p>
          <w:p w14:paraId="6FDE60BE"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Actuaciones que no requieren autorización judicial previa (art. 213 y s.s. C.P.P)</w:t>
            </w:r>
          </w:p>
          <w:p w14:paraId="413251CF"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Actuaciones que requieren autorización judicial previa para su realización (art. 246 y s.s. C.P.P)</w:t>
            </w:r>
          </w:p>
          <w:p w14:paraId="4279448C"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 xml:space="preserve">Formulación de la imputación </w:t>
            </w:r>
          </w:p>
          <w:p w14:paraId="41477A3D"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Concepto y procedencia (art. 286 y s.s. C.P.P) </w:t>
            </w:r>
          </w:p>
          <w:p w14:paraId="6E2945A8"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Contenido de la formulación de imputación (art. 288 C.P.P) </w:t>
            </w:r>
          </w:p>
          <w:p w14:paraId="40623385"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Efectos de la formulación de imputación (art. 292 y s.s. C.P.P)</w:t>
            </w:r>
          </w:p>
          <w:p w14:paraId="125F47F7"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Régimen de libertad y su restricción (art. 295 y 296 C.P.P)</w:t>
            </w:r>
          </w:p>
          <w:p w14:paraId="6C588F9E"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Principios generales</w:t>
            </w:r>
          </w:p>
          <w:p w14:paraId="1C8A85C7"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Captura</w:t>
            </w:r>
          </w:p>
          <w:p w14:paraId="093AF3FF"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Requisitos generales (art. 297 C.P.P)</w:t>
            </w:r>
          </w:p>
          <w:p w14:paraId="35AF22CD"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Contenido y vigencia (art. 298 C.P.P)</w:t>
            </w:r>
          </w:p>
          <w:p w14:paraId="1AD6EFE9"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Captura sin orden judicial (art. 300 C.P.P)</w:t>
            </w:r>
          </w:p>
          <w:p w14:paraId="42BE8487"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Flagrancia (art. 301 y 302 C.P.P)</w:t>
            </w:r>
          </w:p>
          <w:p w14:paraId="21EF0271"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Derechos del capturado (art. 303 C.P.P)</w:t>
            </w:r>
          </w:p>
          <w:p w14:paraId="693D62E5"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Formalización de la reclusión (art. 304 C.P.P)</w:t>
            </w:r>
          </w:p>
          <w:p w14:paraId="7307CDB8"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Registro de personas capturadas y detenidas (art. 305 C.P.P)</w:t>
            </w:r>
          </w:p>
          <w:p w14:paraId="0D6C0694"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Medidas de aseguramiento  </w:t>
            </w:r>
          </w:p>
          <w:p w14:paraId="044523A0"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Clases: privativas y no privativas de la libertad (art. 307 C.P.P)</w:t>
            </w:r>
          </w:p>
          <w:p w14:paraId="6B746C04"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Requisitos (art. 308 C.P.P)</w:t>
            </w:r>
          </w:p>
          <w:p w14:paraId="6C60CCD0"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Procedencia de la detención preventiva (art. 313 C.P.P)</w:t>
            </w:r>
          </w:p>
          <w:p w14:paraId="589E2F0A"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Sustitución de la detención preventiva (art. 314 C.P.P)</w:t>
            </w:r>
          </w:p>
          <w:p w14:paraId="477F66A1" w14:textId="77777777"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Causales de la libertad provisional (art. 317 C.P.P)</w:t>
            </w:r>
          </w:p>
          <w:p w14:paraId="3787CD5E" w14:textId="7D90F9B6" w:rsidR="007A4EB5" w:rsidRPr="00FF4F7F" w:rsidRDefault="007A4EB5" w:rsidP="00386C4D">
            <w:pPr>
              <w:widowControl w:val="0"/>
              <w:numPr>
                <w:ilvl w:val="2"/>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Revocatoria de las medidas de aseguramiento (art. 318 C.P.P)</w:t>
            </w:r>
          </w:p>
          <w:p w14:paraId="73FB865E" w14:textId="10D40015" w:rsidR="007A4EB5" w:rsidRDefault="007A4EB5" w:rsidP="00386C4D">
            <w:pPr>
              <w:widowControl w:val="0"/>
              <w:tabs>
                <w:tab w:val="left" w:pos="602"/>
              </w:tabs>
              <w:autoSpaceDE w:val="0"/>
              <w:autoSpaceDN w:val="0"/>
              <w:contextualSpacing/>
              <w:rPr>
                <w:rFonts w:asciiTheme="majorHAnsi" w:hAnsiTheme="majorHAnsi" w:cstheme="majorHAnsi"/>
                <w:lang w:eastAsia="es-ES"/>
              </w:rPr>
            </w:pPr>
          </w:p>
          <w:p w14:paraId="033DA0D7" w14:textId="77777777" w:rsidR="007A4EB5" w:rsidRPr="00FF4F7F" w:rsidRDefault="007A4EB5"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DE LA</w:t>
            </w:r>
            <w:r w:rsidRPr="00FF4F7F">
              <w:rPr>
                <w:rFonts w:asciiTheme="majorHAnsi" w:hAnsiTheme="majorHAnsi" w:cstheme="majorHAnsi"/>
                <w:b/>
                <w:spacing w:val="-2"/>
                <w:lang w:eastAsia="es-ES"/>
              </w:rPr>
              <w:t xml:space="preserve"> </w:t>
            </w:r>
            <w:r w:rsidRPr="00FF4F7F">
              <w:rPr>
                <w:rFonts w:asciiTheme="majorHAnsi" w:hAnsiTheme="majorHAnsi" w:cstheme="majorHAnsi"/>
                <w:b/>
                <w:lang w:eastAsia="es-ES"/>
              </w:rPr>
              <w:t>ACUSACIÓN</w:t>
            </w:r>
          </w:p>
          <w:p w14:paraId="6E500835"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lastRenderedPageBreak/>
              <w:t xml:space="preserve"> Presentación contenido y</w:t>
            </w:r>
            <w:r w:rsidRPr="00FF4F7F">
              <w:rPr>
                <w:rFonts w:asciiTheme="majorHAnsi" w:hAnsiTheme="majorHAnsi" w:cstheme="majorHAnsi"/>
                <w:spacing w:val="-6"/>
                <w:lang w:eastAsia="es-ES"/>
              </w:rPr>
              <w:t xml:space="preserve"> </w:t>
            </w:r>
            <w:r w:rsidRPr="00FF4F7F">
              <w:rPr>
                <w:rFonts w:asciiTheme="majorHAnsi" w:hAnsiTheme="majorHAnsi" w:cstheme="majorHAnsi"/>
                <w:lang w:eastAsia="es-ES"/>
              </w:rPr>
              <w:t>anexos (art. 336 y s.s. C.P.P)</w:t>
            </w:r>
          </w:p>
          <w:p w14:paraId="0F57CAA0"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Audiencia de formulación de acusación (art. 339 C.P.P)</w:t>
            </w:r>
          </w:p>
          <w:p w14:paraId="36051FC9"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Descubrimiento de los elementos materiales probatorios y evidencia física y restricciones (art. 344 y ss. C.P.P)</w:t>
            </w:r>
          </w:p>
          <w:p w14:paraId="3013D0CA" w14:textId="3ECF1FDA" w:rsidR="007A4EB5" w:rsidRDefault="007A4EB5" w:rsidP="00386C4D">
            <w:pPr>
              <w:widowControl w:val="0"/>
              <w:tabs>
                <w:tab w:val="left" w:pos="602"/>
              </w:tabs>
              <w:autoSpaceDE w:val="0"/>
              <w:autoSpaceDN w:val="0"/>
              <w:contextualSpacing/>
              <w:rPr>
                <w:rFonts w:asciiTheme="majorHAnsi" w:hAnsiTheme="majorHAnsi" w:cstheme="majorHAnsi"/>
                <w:lang w:eastAsia="es-ES"/>
              </w:rPr>
            </w:pPr>
          </w:p>
          <w:p w14:paraId="15B5AB84" w14:textId="77777777" w:rsidR="007A4EB5" w:rsidRPr="00FF4F7F" w:rsidRDefault="007A4EB5"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PREACUERDOS Y NEGOCIACIONES ENTRE LA FISCALÍA Y</w:t>
            </w:r>
            <w:r w:rsidRPr="00FF4F7F">
              <w:rPr>
                <w:rFonts w:asciiTheme="majorHAnsi" w:hAnsiTheme="majorHAnsi" w:cstheme="majorHAnsi"/>
                <w:b/>
                <w:spacing w:val="-21"/>
                <w:lang w:eastAsia="es-ES"/>
              </w:rPr>
              <w:t xml:space="preserve"> </w:t>
            </w:r>
            <w:r w:rsidRPr="00FF4F7F">
              <w:rPr>
                <w:rFonts w:asciiTheme="majorHAnsi" w:hAnsiTheme="majorHAnsi" w:cstheme="majorHAnsi"/>
                <w:b/>
                <w:lang w:eastAsia="es-ES"/>
              </w:rPr>
              <w:t>EL IMPUTADO O</w:t>
            </w:r>
            <w:r w:rsidRPr="00FF4F7F">
              <w:rPr>
                <w:rFonts w:asciiTheme="majorHAnsi" w:hAnsiTheme="majorHAnsi" w:cstheme="majorHAnsi"/>
                <w:b/>
                <w:spacing w:val="-4"/>
                <w:lang w:eastAsia="es-ES"/>
              </w:rPr>
              <w:t xml:space="preserve"> </w:t>
            </w:r>
            <w:r w:rsidRPr="00FF4F7F">
              <w:rPr>
                <w:rFonts w:asciiTheme="majorHAnsi" w:hAnsiTheme="majorHAnsi" w:cstheme="majorHAnsi"/>
                <w:b/>
                <w:lang w:eastAsia="es-ES"/>
              </w:rPr>
              <w:t>ACUSADO</w:t>
            </w:r>
          </w:p>
          <w:p w14:paraId="7581A9B6"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Finalidades y límites de los</w:t>
            </w:r>
            <w:r w:rsidRPr="00FF4F7F">
              <w:rPr>
                <w:rFonts w:asciiTheme="majorHAnsi" w:hAnsiTheme="majorHAnsi" w:cstheme="majorHAnsi"/>
                <w:spacing w:val="-5"/>
                <w:lang w:eastAsia="es-ES"/>
              </w:rPr>
              <w:t xml:space="preserve"> </w:t>
            </w:r>
            <w:r w:rsidRPr="00FF4F7F">
              <w:rPr>
                <w:rFonts w:asciiTheme="majorHAnsi" w:hAnsiTheme="majorHAnsi" w:cstheme="majorHAnsi"/>
                <w:lang w:eastAsia="es-ES"/>
              </w:rPr>
              <w:t>preacuerdos (art 348 y ss. C.P.P)</w:t>
            </w:r>
          </w:p>
          <w:p w14:paraId="0A58A541"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Oportunidad procesal de los preacuerdos (art. 350 y 352 C.P.P)</w:t>
            </w:r>
          </w:p>
          <w:p w14:paraId="2B05B9CD" w14:textId="05C86517" w:rsidR="007A4EB5" w:rsidRPr="007A4EB5"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Modalidades de los preacuerdos (art. 350 C.P.P)</w:t>
            </w:r>
          </w:p>
          <w:p w14:paraId="709AA63B"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Control judicial de los preacuerdos y negociaciones (art. 351 C.P.P)</w:t>
            </w:r>
          </w:p>
          <w:p w14:paraId="537FED52" w14:textId="56182A93" w:rsidR="007A4EB5" w:rsidRDefault="007A4EB5" w:rsidP="00386C4D">
            <w:pPr>
              <w:widowControl w:val="0"/>
              <w:tabs>
                <w:tab w:val="left" w:pos="602"/>
              </w:tabs>
              <w:autoSpaceDE w:val="0"/>
              <w:autoSpaceDN w:val="0"/>
              <w:contextualSpacing/>
              <w:rPr>
                <w:rFonts w:asciiTheme="majorHAnsi" w:hAnsiTheme="majorHAnsi" w:cstheme="majorHAnsi"/>
                <w:lang w:eastAsia="es-ES"/>
              </w:rPr>
            </w:pPr>
          </w:p>
          <w:p w14:paraId="410510C0" w14:textId="77777777" w:rsidR="007A4EB5" w:rsidRPr="00FF4F7F" w:rsidRDefault="007A4EB5"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AUDIENCIA</w:t>
            </w:r>
            <w:r w:rsidRPr="00FF4F7F">
              <w:rPr>
                <w:rFonts w:asciiTheme="majorHAnsi" w:hAnsiTheme="majorHAnsi" w:cstheme="majorHAnsi"/>
                <w:b/>
                <w:spacing w:val="-1"/>
                <w:lang w:eastAsia="es-ES"/>
              </w:rPr>
              <w:t xml:space="preserve"> </w:t>
            </w:r>
            <w:r w:rsidRPr="00FF4F7F">
              <w:rPr>
                <w:rFonts w:asciiTheme="majorHAnsi" w:hAnsiTheme="majorHAnsi" w:cstheme="majorHAnsi"/>
                <w:b/>
                <w:lang w:eastAsia="es-ES"/>
              </w:rPr>
              <w:t>PREPARATORIA</w:t>
            </w:r>
          </w:p>
          <w:p w14:paraId="7A60786D" w14:textId="20D217FF" w:rsidR="007A4EB5" w:rsidRPr="007A4EB5" w:rsidRDefault="007A4EB5" w:rsidP="00386C4D">
            <w:pPr>
              <w:pStyle w:val="Prrafodelista"/>
              <w:widowControl w:val="0"/>
              <w:numPr>
                <w:ilvl w:val="1"/>
                <w:numId w:val="21"/>
              </w:numPr>
              <w:tabs>
                <w:tab w:val="left" w:pos="602"/>
              </w:tabs>
              <w:autoSpaceDE w:val="0"/>
              <w:autoSpaceDN w:val="0"/>
              <w:rPr>
                <w:rFonts w:asciiTheme="majorHAnsi" w:hAnsiTheme="majorHAnsi" w:cstheme="majorHAnsi"/>
                <w:b/>
                <w:lang w:eastAsia="es-ES"/>
              </w:rPr>
            </w:pPr>
            <w:r w:rsidRPr="007A4EB5">
              <w:rPr>
                <w:rFonts w:asciiTheme="majorHAnsi" w:hAnsiTheme="majorHAnsi" w:cstheme="majorHAnsi"/>
                <w:lang w:eastAsia="es-ES"/>
              </w:rPr>
              <w:t>Instalación y</w:t>
            </w:r>
            <w:r w:rsidRPr="007A4EB5">
              <w:rPr>
                <w:rFonts w:asciiTheme="majorHAnsi" w:hAnsiTheme="majorHAnsi" w:cstheme="majorHAnsi"/>
                <w:spacing w:val="-2"/>
                <w:lang w:eastAsia="es-ES"/>
              </w:rPr>
              <w:t xml:space="preserve"> </w:t>
            </w:r>
            <w:r w:rsidRPr="007A4EB5">
              <w:rPr>
                <w:rFonts w:asciiTheme="majorHAnsi" w:hAnsiTheme="majorHAnsi" w:cstheme="majorHAnsi"/>
                <w:lang w:eastAsia="es-ES"/>
              </w:rPr>
              <w:t>desarrollo (art. 355 y s.s. C.P.P)</w:t>
            </w:r>
          </w:p>
          <w:p w14:paraId="61F8F644"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Solicitud y decisión sobre pruebas solicitadas (art. 357 y s.s. C.P.P)</w:t>
            </w:r>
          </w:p>
          <w:p w14:paraId="270C7488"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Exclusión, rechazo e inadmisibilidad de los medios de prueba (art. 359 C.P.P)</w:t>
            </w:r>
          </w:p>
          <w:p w14:paraId="23DF597A"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Conclusión de la audiencia</w:t>
            </w:r>
            <w:r w:rsidRPr="00FF4F7F">
              <w:rPr>
                <w:rFonts w:asciiTheme="majorHAnsi" w:hAnsiTheme="majorHAnsi" w:cstheme="majorHAnsi"/>
                <w:spacing w:val="-19"/>
                <w:lang w:eastAsia="es-ES"/>
              </w:rPr>
              <w:t xml:space="preserve"> </w:t>
            </w:r>
            <w:r w:rsidRPr="00FF4F7F">
              <w:rPr>
                <w:rFonts w:asciiTheme="majorHAnsi" w:hAnsiTheme="majorHAnsi" w:cstheme="majorHAnsi"/>
                <w:lang w:eastAsia="es-ES"/>
              </w:rPr>
              <w:t>preparatoria (art. 363 y s.s. C.P.P)</w:t>
            </w:r>
          </w:p>
          <w:p w14:paraId="7826251D" w14:textId="19ED55E6" w:rsidR="007A4EB5" w:rsidRDefault="007A4EB5" w:rsidP="00386C4D">
            <w:pPr>
              <w:widowControl w:val="0"/>
              <w:tabs>
                <w:tab w:val="left" w:pos="602"/>
              </w:tabs>
              <w:autoSpaceDE w:val="0"/>
              <w:autoSpaceDN w:val="0"/>
              <w:contextualSpacing/>
              <w:rPr>
                <w:rFonts w:asciiTheme="majorHAnsi" w:hAnsiTheme="majorHAnsi" w:cstheme="majorHAnsi"/>
                <w:lang w:eastAsia="es-ES"/>
              </w:rPr>
            </w:pPr>
          </w:p>
          <w:p w14:paraId="234B8176" w14:textId="77777777" w:rsidR="007A4EB5" w:rsidRPr="00FF4F7F" w:rsidRDefault="007A4EB5"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 xml:space="preserve">PROCEDIMIENTO ESPECIAL ABREVIADO </w:t>
            </w:r>
          </w:p>
          <w:p w14:paraId="22B26183"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Ámbito de aplicación e integración del procedimiento abreviado (Art. 534 y 535 C.P.P)</w:t>
            </w:r>
          </w:p>
          <w:p w14:paraId="3053A9AB"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Traslado de la acusación; contenido de la acusación y documentos anexos (arts. 536 y 538 C.P.P)</w:t>
            </w:r>
          </w:p>
          <w:p w14:paraId="14A0DF1D"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Traslado de acusación en audiencia de solicitud de medida de aseguramiento (art. 537 C.P.P)</w:t>
            </w:r>
          </w:p>
          <w:p w14:paraId="7A9C14C7"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Presentación de la acusación y término para la audiencia concentrada (art. 540 y 541 C.P.P)</w:t>
            </w:r>
          </w:p>
          <w:p w14:paraId="50D60DCE"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Audiencia concentrada (art. 542)</w:t>
            </w:r>
          </w:p>
          <w:p w14:paraId="3EDC66E3"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Fijación y trámite del juicio oral (art. 543 y 544 C.P.P)</w:t>
            </w:r>
          </w:p>
          <w:p w14:paraId="2863DE25"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Traslado de la sentencia e interposición de recursos (art. 545 C.P.P)</w:t>
            </w:r>
          </w:p>
          <w:p w14:paraId="1A4DF674"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Notificaciones (art.546 C.P.P)</w:t>
            </w:r>
          </w:p>
          <w:p w14:paraId="3BF47EC8"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Justicia restaurativa en el procedimiento especial abreviado (art. 547 C.P.P)</w:t>
            </w:r>
          </w:p>
          <w:p w14:paraId="767D3600" w14:textId="2DB092CD" w:rsidR="007A4EB5"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Causales de libertad en el procedimiento penal abreviado (art. 548 C.P.P)</w:t>
            </w:r>
          </w:p>
          <w:p w14:paraId="1D68C055" w14:textId="39C65E94" w:rsidR="007A4EB5" w:rsidRDefault="007A4EB5" w:rsidP="00386C4D">
            <w:pPr>
              <w:widowControl w:val="0"/>
              <w:tabs>
                <w:tab w:val="left" w:pos="602"/>
              </w:tabs>
              <w:autoSpaceDE w:val="0"/>
              <w:autoSpaceDN w:val="0"/>
              <w:contextualSpacing/>
              <w:rPr>
                <w:rFonts w:asciiTheme="majorHAnsi" w:hAnsiTheme="majorHAnsi" w:cstheme="majorHAnsi"/>
                <w:lang w:eastAsia="es-ES"/>
              </w:rPr>
            </w:pPr>
          </w:p>
          <w:p w14:paraId="19C8BF1B" w14:textId="77777777" w:rsidR="007A4EB5" w:rsidRPr="00FF4F7F" w:rsidRDefault="007A4EB5" w:rsidP="00386C4D">
            <w:pPr>
              <w:widowControl w:val="0"/>
              <w:numPr>
                <w:ilvl w:val="0"/>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b/>
                <w:lang w:eastAsia="es-ES"/>
              </w:rPr>
              <w:t>JUICIO</w:t>
            </w:r>
            <w:r w:rsidRPr="00FF4F7F">
              <w:rPr>
                <w:rFonts w:asciiTheme="majorHAnsi" w:hAnsiTheme="majorHAnsi" w:cstheme="majorHAnsi"/>
                <w:b/>
                <w:spacing w:val="-6"/>
                <w:lang w:eastAsia="es-ES"/>
              </w:rPr>
              <w:t xml:space="preserve"> </w:t>
            </w:r>
            <w:r w:rsidRPr="00FF4F7F">
              <w:rPr>
                <w:rFonts w:asciiTheme="majorHAnsi" w:hAnsiTheme="majorHAnsi" w:cstheme="majorHAnsi"/>
                <w:b/>
                <w:lang w:eastAsia="es-ES"/>
              </w:rPr>
              <w:t>ORAL</w:t>
            </w:r>
          </w:p>
          <w:p w14:paraId="45583CA9"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b/>
                <w:lang w:eastAsia="es-ES"/>
              </w:rPr>
            </w:pPr>
            <w:r w:rsidRPr="00FF4F7F">
              <w:rPr>
                <w:rFonts w:asciiTheme="majorHAnsi" w:hAnsiTheme="majorHAnsi" w:cstheme="majorHAnsi"/>
                <w:lang w:eastAsia="es-ES"/>
              </w:rPr>
              <w:t>Inicio, manifestaciones del acusado y decisión del juez sobre</w:t>
            </w:r>
            <w:r w:rsidRPr="00FF4F7F">
              <w:rPr>
                <w:rFonts w:asciiTheme="majorHAnsi" w:hAnsiTheme="majorHAnsi" w:cstheme="majorHAnsi"/>
                <w:spacing w:val="-2"/>
                <w:lang w:eastAsia="es-ES"/>
              </w:rPr>
              <w:t xml:space="preserve"> </w:t>
            </w:r>
            <w:r w:rsidRPr="00FF4F7F">
              <w:rPr>
                <w:rFonts w:asciiTheme="majorHAnsi" w:hAnsiTheme="majorHAnsi" w:cstheme="majorHAnsi"/>
                <w:lang w:eastAsia="es-ES"/>
              </w:rPr>
              <w:t>ellas (art. 366 C.P.P)</w:t>
            </w:r>
          </w:p>
          <w:p w14:paraId="651BEEAB"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Presentación del caso (art. 367 C.P.P)</w:t>
            </w:r>
          </w:p>
          <w:p w14:paraId="7B9FF6B3" w14:textId="77777777" w:rsidR="007A4EB5" w:rsidRPr="00FF4F7F"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 xml:space="preserve">Práctica de pruebas (art. 372 y s.s. C.P.P) </w:t>
            </w:r>
          </w:p>
          <w:p w14:paraId="0A271E79" w14:textId="42C83666" w:rsidR="007A4EB5" w:rsidRDefault="007A4EB5" w:rsidP="00386C4D">
            <w:pPr>
              <w:widowControl w:val="0"/>
              <w:numPr>
                <w:ilvl w:val="1"/>
                <w:numId w:val="21"/>
              </w:numPr>
              <w:tabs>
                <w:tab w:val="left" w:pos="602"/>
              </w:tabs>
              <w:autoSpaceDE w:val="0"/>
              <w:autoSpaceDN w:val="0"/>
              <w:contextualSpacing/>
              <w:rPr>
                <w:rFonts w:asciiTheme="majorHAnsi" w:hAnsiTheme="majorHAnsi" w:cstheme="majorHAnsi"/>
                <w:lang w:eastAsia="es-ES"/>
              </w:rPr>
            </w:pPr>
            <w:r w:rsidRPr="00FF4F7F">
              <w:rPr>
                <w:rFonts w:asciiTheme="majorHAnsi" w:hAnsiTheme="majorHAnsi" w:cstheme="majorHAnsi"/>
                <w:lang w:eastAsia="es-ES"/>
              </w:rPr>
              <w:t>Alegatos de las partes e</w:t>
            </w:r>
            <w:r w:rsidRPr="00FF4F7F">
              <w:rPr>
                <w:rFonts w:asciiTheme="majorHAnsi" w:hAnsiTheme="majorHAnsi" w:cstheme="majorHAnsi"/>
                <w:spacing w:val="-7"/>
                <w:lang w:eastAsia="es-ES"/>
              </w:rPr>
              <w:t xml:space="preserve"> </w:t>
            </w:r>
            <w:r w:rsidRPr="00FF4F7F">
              <w:rPr>
                <w:rFonts w:asciiTheme="majorHAnsi" w:hAnsiTheme="majorHAnsi" w:cstheme="majorHAnsi"/>
                <w:lang w:eastAsia="es-ES"/>
              </w:rPr>
              <w:t>intervinientes (art. 443 C.P.P)</w:t>
            </w:r>
          </w:p>
          <w:p w14:paraId="66AF07F6" w14:textId="77777777" w:rsidR="007A4EB5" w:rsidRPr="007A4EB5" w:rsidRDefault="007A4EB5" w:rsidP="00386C4D">
            <w:pPr>
              <w:widowControl w:val="0"/>
              <w:tabs>
                <w:tab w:val="left" w:pos="602"/>
              </w:tabs>
              <w:autoSpaceDE w:val="0"/>
              <w:autoSpaceDN w:val="0"/>
              <w:contextualSpacing/>
              <w:rPr>
                <w:rFonts w:asciiTheme="majorHAnsi" w:hAnsiTheme="majorHAnsi" w:cstheme="majorHAnsi"/>
                <w:lang w:eastAsia="es-ES"/>
              </w:rPr>
            </w:pPr>
          </w:p>
          <w:p w14:paraId="56AF7853" w14:textId="6448B7F6" w:rsidR="00C12F04" w:rsidRPr="007A4EB5" w:rsidRDefault="00C12F04" w:rsidP="00386C4D">
            <w:pPr>
              <w:jc w:val="center"/>
              <w:rPr>
                <w:rFonts w:asciiTheme="majorHAnsi" w:hAnsiTheme="majorHAnsi" w:cstheme="majorHAnsi"/>
                <w:lang w:val="es-CO" w:eastAsia="es-ES"/>
              </w:rPr>
            </w:pPr>
          </w:p>
        </w:tc>
      </w:tr>
    </w:tbl>
    <w:p w14:paraId="5BAECFBD" w14:textId="77777777" w:rsidR="00FF4F7F" w:rsidRPr="00FF4F7F" w:rsidRDefault="00FF4F7F" w:rsidP="00FF4F7F">
      <w:pPr>
        <w:ind w:left="142"/>
        <w:rPr>
          <w:rFonts w:asciiTheme="majorHAnsi" w:eastAsiaTheme="minorEastAsia" w:hAnsiTheme="majorHAnsi" w:cstheme="majorHAnsi"/>
          <w:lang w:eastAsia="es-ES"/>
        </w:rPr>
      </w:pPr>
    </w:p>
    <w:p w14:paraId="112C26AE" w14:textId="77777777" w:rsidR="00FF4F7F" w:rsidRPr="00FF4F7F" w:rsidRDefault="00FF4F7F" w:rsidP="00FF4F7F">
      <w:pPr>
        <w:ind w:left="142"/>
        <w:rPr>
          <w:rFonts w:asciiTheme="majorHAnsi" w:eastAsiaTheme="minorEastAsia" w:hAnsiTheme="majorHAnsi" w:cstheme="majorHAnsi"/>
          <w:lang w:eastAsia="es-ES"/>
        </w:rPr>
      </w:pPr>
    </w:p>
    <w:p w14:paraId="4ED3624B" w14:textId="499C2F45" w:rsidR="003F40C5" w:rsidRPr="005E214E" w:rsidRDefault="003F40C5" w:rsidP="003F40C5">
      <w:pPr>
        <w:shd w:val="clear" w:color="auto" w:fill="BFBFBF"/>
        <w:rPr>
          <w:rFonts w:asciiTheme="majorHAnsi" w:hAnsiTheme="majorHAnsi" w:cs="Arial"/>
          <w:b/>
        </w:rPr>
      </w:pPr>
      <w:r w:rsidRPr="005E214E">
        <w:rPr>
          <w:rFonts w:asciiTheme="majorHAnsi" w:hAnsiTheme="majorHAnsi" w:cs="Arial"/>
          <w:b/>
        </w:rPr>
        <w:lastRenderedPageBreak/>
        <w:t xml:space="preserve">                       </w:t>
      </w:r>
      <w:r w:rsidR="00DC3FA8" w:rsidRPr="005E214E">
        <w:rPr>
          <w:rFonts w:asciiTheme="majorHAnsi" w:hAnsiTheme="majorHAnsi" w:cs="Arial"/>
          <w:b/>
        </w:rPr>
        <w:t xml:space="preserve">                              6</w:t>
      </w:r>
      <w:r w:rsidR="00FB7F2A" w:rsidRPr="005E214E">
        <w:rPr>
          <w:rFonts w:asciiTheme="majorHAnsi" w:hAnsiTheme="majorHAnsi" w:cs="Arial"/>
          <w:b/>
        </w:rPr>
        <w:t>. METODOLOGÍA</w:t>
      </w:r>
    </w:p>
    <w:p w14:paraId="1E6EC7F1" w14:textId="77777777" w:rsidR="003F40C5" w:rsidRPr="005E214E" w:rsidRDefault="003F40C5" w:rsidP="003F40C5">
      <w:pPr>
        <w:rPr>
          <w:rFonts w:asciiTheme="majorHAnsi" w:hAnsiTheme="majorHAnsi" w:cs="Arial"/>
          <w:b/>
        </w:rPr>
      </w:pPr>
    </w:p>
    <w:p w14:paraId="0DB4A63F" w14:textId="7A7F8717" w:rsidR="00AD6ED9" w:rsidRDefault="00E51B88" w:rsidP="0051782F">
      <w:pPr>
        <w:pStyle w:val="Cuadrculamedia1-nfasis21"/>
        <w:spacing w:after="0" w:line="240" w:lineRule="auto"/>
        <w:ind w:left="0"/>
        <w:jc w:val="both"/>
        <w:rPr>
          <w:rFonts w:asciiTheme="majorHAnsi" w:hAnsiTheme="majorHAnsi" w:cs="Arial"/>
          <w:sz w:val="24"/>
          <w:szCs w:val="24"/>
        </w:rPr>
      </w:pPr>
      <w:r>
        <w:rPr>
          <w:rFonts w:asciiTheme="majorHAnsi" w:hAnsiTheme="majorHAnsi" w:cs="Arial"/>
          <w:sz w:val="24"/>
          <w:szCs w:val="24"/>
        </w:rPr>
        <w:t xml:space="preserve">El curso seguirá la estructura de </w:t>
      </w:r>
      <w:r w:rsidR="00110B24">
        <w:rPr>
          <w:rFonts w:asciiTheme="majorHAnsi" w:hAnsiTheme="majorHAnsi" w:cs="Arial"/>
          <w:sz w:val="24"/>
          <w:szCs w:val="24"/>
        </w:rPr>
        <w:t>cátedra</w:t>
      </w:r>
      <w:r>
        <w:rPr>
          <w:rFonts w:asciiTheme="majorHAnsi" w:hAnsiTheme="majorHAnsi" w:cs="Arial"/>
          <w:sz w:val="24"/>
          <w:szCs w:val="24"/>
        </w:rPr>
        <w:t xml:space="preserve"> magistral</w:t>
      </w:r>
      <w:r w:rsidR="00110B24">
        <w:rPr>
          <w:rFonts w:asciiTheme="majorHAnsi" w:hAnsiTheme="majorHAnsi" w:cs="Arial"/>
          <w:sz w:val="24"/>
          <w:szCs w:val="24"/>
        </w:rPr>
        <w:t xml:space="preserve"> activa</w:t>
      </w:r>
      <w:r w:rsidR="00650DD8">
        <w:rPr>
          <w:rFonts w:asciiTheme="majorHAnsi" w:hAnsiTheme="majorHAnsi" w:cs="Arial"/>
          <w:sz w:val="24"/>
          <w:szCs w:val="24"/>
        </w:rPr>
        <w:t xml:space="preserve">. El docente hará una exposición de temas y se referirá a los contenidos de las asignaciones de lectura individual que se proponen para el desarrollo de cada tópico. </w:t>
      </w:r>
    </w:p>
    <w:p w14:paraId="34F0E1D5" w14:textId="77777777" w:rsidR="00AD6ED9" w:rsidRDefault="00AD6ED9" w:rsidP="0051782F">
      <w:pPr>
        <w:pStyle w:val="Cuadrculamedia1-nfasis21"/>
        <w:spacing w:after="0" w:line="240" w:lineRule="auto"/>
        <w:ind w:left="0"/>
        <w:jc w:val="both"/>
        <w:rPr>
          <w:rFonts w:asciiTheme="majorHAnsi" w:hAnsiTheme="majorHAnsi" w:cs="Arial"/>
          <w:sz w:val="24"/>
          <w:szCs w:val="24"/>
        </w:rPr>
      </w:pPr>
    </w:p>
    <w:p w14:paraId="28A4B928" w14:textId="70DEF530" w:rsidR="007F2B54" w:rsidRPr="00B84272" w:rsidRDefault="00650DD8" w:rsidP="00B84272">
      <w:pPr>
        <w:pStyle w:val="Cuadrculamedia1-nfasis21"/>
        <w:spacing w:after="0" w:line="240" w:lineRule="auto"/>
        <w:ind w:left="0"/>
        <w:jc w:val="both"/>
        <w:rPr>
          <w:rFonts w:asciiTheme="majorHAnsi" w:hAnsiTheme="majorHAnsi" w:cs="Arial"/>
          <w:sz w:val="24"/>
          <w:szCs w:val="24"/>
        </w:rPr>
      </w:pPr>
      <w:r>
        <w:rPr>
          <w:rFonts w:asciiTheme="majorHAnsi" w:hAnsiTheme="majorHAnsi" w:cs="Arial"/>
          <w:sz w:val="24"/>
          <w:szCs w:val="24"/>
        </w:rPr>
        <w:t>El estudiante debe usar sus horas de estudio individual para desarrollar l</w:t>
      </w:r>
      <w:r w:rsidR="00F86686">
        <w:rPr>
          <w:rFonts w:asciiTheme="majorHAnsi" w:hAnsiTheme="majorHAnsi" w:cs="Arial"/>
          <w:sz w:val="24"/>
          <w:szCs w:val="24"/>
        </w:rPr>
        <w:t xml:space="preserve">a lectura y análisis de jurisprudencia </w:t>
      </w:r>
      <w:r w:rsidR="00110B24">
        <w:rPr>
          <w:rFonts w:asciiTheme="majorHAnsi" w:hAnsiTheme="majorHAnsi" w:cs="Arial"/>
          <w:sz w:val="24"/>
          <w:szCs w:val="24"/>
        </w:rPr>
        <w:t xml:space="preserve">y casos </w:t>
      </w:r>
      <w:r w:rsidR="00F86686">
        <w:rPr>
          <w:rFonts w:asciiTheme="majorHAnsi" w:hAnsiTheme="majorHAnsi" w:cs="Arial"/>
          <w:sz w:val="24"/>
          <w:szCs w:val="24"/>
        </w:rPr>
        <w:t>relacionad</w:t>
      </w:r>
      <w:r w:rsidR="00110B24">
        <w:rPr>
          <w:rFonts w:asciiTheme="majorHAnsi" w:hAnsiTheme="majorHAnsi" w:cs="Arial"/>
          <w:sz w:val="24"/>
          <w:szCs w:val="24"/>
        </w:rPr>
        <w:t xml:space="preserve">os </w:t>
      </w:r>
      <w:r w:rsidR="00F86686">
        <w:rPr>
          <w:rFonts w:asciiTheme="majorHAnsi" w:hAnsiTheme="majorHAnsi" w:cs="Arial"/>
          <w:sz w:val="24"/>
          <w:szCs w:val="24"/>
        </w:rPr>
        <w:t>con los temas señalado</w:t>
      </w:r>
      <w:r w:rsidR="00110B24">
        <w:rPr>
          <w:rFonts w:asciiTheme="majorHAnsi" w:hAnsiTheme="majorHAnsi" w:cs="Arial"/>
          <w:sz w:val="24"/>
          <w:szCs w:val="24"/>
        </w:rPr>
        <w:t>s</w:t>
      </w:r>
      <w:r w:rsidR="00F86686">
        <w:rPr>
          <w:rFonts w:asciiTheme="majorHAnsi" w:hAnsiTheme="majorHAnsi" w:cs="Arial"/>
          <w:sz w:val="24"/>
          <w:szCs w:val="24"/>
        </w:rPr>
        <w:t xml:space="preserve"> en el programa. Esto permitirá que pueda hacer un seguimiento activo durante la </w:t>
      </w:r>
      <w:r w:rsidR="00AD6ED9">
        <w:rPr>
          <w:rFonts w:asciiTheme="majorHAnsi" w:hAnsiTheme="majorHAnsi" w:cs="Arial"/>
          <w:sz w:val="24"/>
          <w:szCs w:val="24"/>
        </w:rPr>
        <w:t>clase</w:t>
      </w:r>
      <w:r w:rsidR="00F86686">
        <w:rPr>
          <w:rFonts w:asciiTheme="majorHAnsi" w:hAnsiTheme="majorHAnsi" w:cs="Arial"/>
          <w:sz w:val="24"/>
          <w:szCs w:val="24"/>
        </w:rPr>
        <w:t xml:space="preserve"> y pueda responder las preguntas formuladas por el docente durante las horas de clase. </w:t>
      </w:r>
      <w:r w:rsidR="00AD6ED9">
        <w:rPr>
          <w:rFonts w:asciiTheme="majorHAnsi" w:hAnsiTheme="majorHAnsi" w:cs="Arial"/>
          <w:sz w:val="24"/>
          <w:szCs w:val="24"/>
        </w:rPr>
        <w:t>Así mismo, esto le permitirá participar de manera activa y acertada realizando aportes</w:t>
      </w:r>
      <w:r w:rsidR="00B84272">
        <w:rPr>
          <w:rFonts w:asciiTheme="majorHAnsi" w:hAnsiTheme="majorHAnsi" w:cs="Arial"/>
          <w:sz w:val="24"/>
          <w:szCs w:val="24"/>
        </w:rPr>
        <w:t xml:space="preserve"> con mejor contenido teórico y argumentativo.</w:t>
      </w:r>
    </w:p>
    <w:p w14:paraId="46BD6BE9" w14:textId="77777777" w:rsidR="007F2B54" w:rsidRPr="005E214E" w:rsidRDefault="007F2B54" w:rsidP="00132969">
      <w:pPr>
        <w:jc w:val="both"/>
        <w:rPr>
          <w:rFonts w:asciiTheme="majorHAnsi" w:eastAsia="Tahoma" w:hAnsiTheme="majorHAnsi" w:cs="Tahoma"/>
          <w:b/>
        </w:rPr>
      </w:pPr>
    </w:p>
    <w:p w14:paraId="65A379A9" w14:textId="15DC24EA" w:rsidR="00FB7F2A" w:rsidRPr="005E214E" w:rsidRDefault="00FB7F2A" w:rsidP="00FB7F2A">
      <w:pPr>
        <w:shd w:val="clear" w:color="auto" w:fill="BFBFBF"/>
        <w:rPr>
          <w:rFonts w:asciiTheme="majorHAnsi" w:hAnsiTheme="majorHAnsi" w:cs="Arial"/>
          <w:b/>
        </w:rPr>
      </w:pPr>
      <w:r w:rsidRPr="005E214E">
        <w:rPr>
          <w:rFonts w:asciiTheme="majorHAnsi" w:hAnsiTheme="majorHAnsi" w:cs="Arial"/>
          <w:b/>
        </w:rPr>
        <w:t xml:space="preserve">                 </w:t>
      </w:r>
      <w:r w:rsidR="002455E5" w:rsidRPr="005E214E">
        <w:rPr>
          <w:rFonts w:asciiTheme="majorHAnsi" w:hAnsiTheme="majorHAnsi" w:cs="Arial"/>
          <w:b/>
        </w:rPr>
        <w:t xml:space="preserve">      </w:t>
      </w:r>
      <w:r w:rsidR="00DC3FA8" w:rsidRPr="005E214E">
        <w:rPr>
          <w:rFonts w:asciiTheme="majorHAnsi" w:hAnsiTheme="majorHAnsi" w:cs="Arial"/>
          <w:b/>
        </w:rPr>
        <w:t xml:space="preserve">                               7</w:t>
      </w:r>
      <w:r w:rsidRPr="005E214E">
        <w:rPr>
          <w:rFonts w:asciiTheme="majorHAnsi" w:hAnsiTheme="majorHAnsi" w:cs="Arial"/>
          <w:b/>
        </w:rPr>
        <w:t xml:space="preserve">.  EVALUACIÓN </w:t>
      </w:r>
    </w:p>
    <w:p w14:paraId="4B7F374A" w14:textId="77777777" w:rsidR="00FB7F2A" w:rsidRPr="005E214E" w:rsidRDefault="00FB7F2A" w:rsidP="00FB7F2A">
      <w:pPr>
        <w:rPr>
          <w:rFonts w:asciiTheme="majorHAnsi" w:hAnsiTheme="majorHAnsi" w:cs="Arial"/>
          <w:b/>
        </w:rPr>
      </w:pPr>
    </w:p>
    <w:p w14:paraId="13544269" w14:textId="7AD717A1" w:rsidR="001631BB" w:rsidRPr="005E214E" w:rsidRDefault="00B84272" w:rsidP="00132969">
      <w:pPr>
        <w:jc w:val="both"/>
        <w:rPr>
          <w:rFonts w:asciiTheme="majorHAnsi" w:hAnsiTheme="majorHAnsi" w:cs="Arial"/>
          <w:lang w:val="es-CO" w:eastAsia="en-US"/>
        </w:rPr>
      </w:pPr>
      <w:r>
        <w:rPr>
          <w:rFonts w:asciiTheme="majorHAnsi" w:hAnsiTheme="majorHAnsi" w:cs="Arial"/>
          <w:lang w:val="es-CO" w:eastAsia="en-US"/>
        </w:rPr>
        <w:t xml:space="preserve">Se realizará </w:t>
      </w:r>
      <w:r w:rsidR="00F916A4">
        <w:rPr>
          <w:rFonts w:asciiTheme="majorHAnsi" w:hAnsiTheme="majorHAnsi" w:cs="Arial"/>
          <w:lang w:val="es-CO" w:eastAsia="en-US"/>
        </w:rPr>
        <w:t>como mínimo dos</w:t>
      </w:r>
      <w:r w:rsidR="004E1A18">
        <w:rPr>
          <w:rFonts w:asciiTheme="majorHAnsi" w:hAnsiTheme="majorHAnsi" w:cs="Arial"/>
          <w:lang w:val="es-CO" w:eastAsia="en-US"/>
        </w:rPr>
        <w:t xml:space="preserve"> pruebas de evaluación escritas u orales, dependiendo</w:t>
      </w:r>
      <w:r w:rsidR="00110B24">
        <w:rPr>
          <w:rFonts w:asciiTheme="majorHAnsi" w:hAnsiTheme="majorHAnsi" w:cs="Arial"/>
          <w:lang w:val="es-CO" w:eastAsia="en-US"/>
        </w:rPr>
        <w:t xml:space="preserve"> de</w:t>
      </w:r>
      <w:r w:rsidR="004E1A18">
        <w:rPr>
          <w:rFonts w:asciiTheme="majorHAnsi" w:hAnsiTheme="majorHAnsi" w:cs="Arial"/>
          <w:lang w:val="es-CO" w:eastAsia="en-US"/>
        </w:rPr>
        <w:t xml:space="preserve"> la metodología escogida por el docente</w:t>
      </w:r>
      <w:r w:rsidR="00110B24">
        <w:rPr>
          <w:rFonts w:asciiTheme="majorHAnsi" w:hAnsiTheme="majorHAnsi" w:cs="Arial"/>
          <w:lang w:val="es-CO" w:eastAsia="en-US"/>
        </w:rPr>
        <w:t>, basadas especialmente en la aplicación de conocimientos a casos prácticos y a el análisis de jurisprudencia</w:t>
      </w:r>
      <w:r w:rsidR="004E1A18">
        <w:rPr>
          <w:rFonts w:asciiTheme="majorHAnsi" w:hAnsiTheme="majorHAnsi" w:cs="Arial"/>
          <w:lang w:val="es-CO" w:eastAsia="en-US"/>
        </w:rPr>
        <w:t xml:space="preserve">. </w:t>
      </w:r>
      <w:r w:rsidR="002B6FBF">
        <w:rPr>
          <w:rFonts w:asciiTheme="majorHAnsi" w:hAnsiTheme="majorHAnsi" w:cs="Arial"/>
          <w:lang w:val="es-CO" w:eastAsia="en-US"/>
        </w:rPr>
        <w:t>Se evaluará su manejo conceptual sobre las temáticas rel</w:t>
      </w:r>
      <w:r w:rsidR="005A530B">
        <w:rPr>
          <w:rFonts w:asciiTheme="majorHAnsi" w:hAnsiTheme="majorHAnsi" w:cs="Arial"/>
          <w:lang w:val="es-CO" w:eastAsia="en-US"/>
        </w:rPr>
        <w:t>evantes para el curso, así como su capacidad para aplicar estos conceptos en la identificación de problemas jurídicos y el planteamiento de soluciones acordes con las disposiciones constitucionales y legales.</w:t>
      </w:r>
    </w:p>
    <w:p w14:paraId="504462DC" w14:textId="77777777" w:rsidR="001631BB" w:rsidRPr="005E214E" w:rsidRDefault="001631BB" w:rsidP="00132969">
      <w:pPr>
        <w:jc w:val="both"/>
        <w:rPr>
          <w:rFonts w:asciiTheme="majorHAnsi" w:hAnsiTheme="majorHAnsi" w:cs="Arial"/>
          <w:lang w:val="es-CO" w:eastAsia="en-US"/>
        </w:rPr>
      </w:pPr>
    </w:p>
    <w:p w14:paraId="7D642654" w14:textId="647921DE" w:rsidR="002455E5" w:rsidRPr="005E214E" w:rsidRDefault="002455E5" w:rsidP="002455E5">
      <w:pPr>
        <w:shd w:val="clear" w:color="auto" w:fill="BFBFBF"/>
        <w:rPr>
          <w:rFonts w:asciiTheme="majorHAnsi" w:hAnsiTheme="majorHAnsi" w:cs="Arial"/>
          <w:b/>
        </w:rPr>
      </w:pPr>
      <w:r w:rsidRPr="005E214E">
        <w:rPr>
          <w:rFonts w:asciiTheme="majorHAnsi" w:hAnsiTheme="majorHAnsi" w:cs="Arial"/>
          <w:b/>
        </w:rPr>
        <w:t xml:space="preserve">                       </w:t>
      </w:r>
      <w:r w:rsidR="00DC3FA8" w:rsidRPr="005E214E">
        <w:rPr>
          <w:rFonts w:asciiTheme="majorHAnsi" w:hAnsiTheme="majorHAnsi" w:cs="Arial"/>
          <w:b/>
        </w:rPr>
        <w:t xml:space="preserve">                               8</w:t>
      </w:r>
      <w:r w:rsidRPr="005E214E">
        <w:rPr>
          <w:rFonts w:asciiTheme="majorHAnsi" w:hAnsiTheme="majorHAnsi" w:cs="Arial"/>
          <w:b/>
        </w:rPr>
        <w:t>.  REFERENCIAS BIBLIOGR</w:t>
      </w:r>
      <w:r w:rsidR="00B21DC4" w:rsidRPr="005E214E">
        <w:rPr>
          <w:rFonts w:asciiTheme="majorHAnsi" w:hAnsiTheme="majorHAnsi" w:cs="Arial"/>
          <w:b/>
        </w:rPr>
        <w:t>Á</w:t>
      </w:r>
      <w:r w:rsidRPr="005E214E">
        <w:rPr>
          <w:rFonts w:asciiTheme="majorHAnsi" w:hAnsiTheme="majorHAnsi" w:cs="Arial"/>
          <w:b/>
        </w:rPr>
        <w:t>FI</w:t>
      </w:r>
      <w:r w:rsidR="00B21DC4" w:rsidRPr="005E214E">
        <w:rPr>
          <w:rFonts w:asciiTheme="majorHAnsi" w:hAnsiTheme="majorHAnsi" w:cs="Arial"/>
          <w:b/>
        </w:rPr>
        <w:t>C</w:t>
      </w:r>
      <w:r w:rsidRPr="005E214E">
        <w:rPr>
          <w:rFonts w:asciiTheme="majorHAnsi" w:hAnsiTheme="majorHAnsi" w:cs="Arial"/>
          <w:b/>
        </w:rPr>
        <w:t xml:space="preserve">AS </w:t>
      </w:r>
    </w:p>
    <w:p w14:paraId="061F5237" w14:textId="77777777" w:rsidR="002455E5" w:rsidRPr="005E214E" w:rsidRDefault="002455E5" w:rsidP="002455E5">
      <w:pPr>
        <w:rPr>
          <w:rFonts w:asciiTheme="majorHAnsi" w:hAnsiTheme="majorHAnsi" w:cs="Arial"/>
          <w:b/>
        </w:rPr>
      </w:pPr>
    </w:p>
    <w:p w14:paraId="3693768B" w14:textId="79737F65" w:rsidR="009208DF" w:rsidRPr="005E214E" w:rsidRDefault="009208DF" w:rsidP="000D77CD">
      <w:pPr>
        <w:pStyle w:val="Prrafodelista"/>
        <w:numPr>
          <w:ilvl w:val="0"/>
          <w:numId w:val="11"/>
        </w:numPr>
        <w:rPr>
          <w:rFonts w:asciiTheme="majorHAnsi" w:hAnsiTheme="majorHAnsi" w:cs="Arial"/>
          <w:b/>
          <w:sz w:val="24"/>
          <w:szCs w:val="24"/>
        </w:rPr>
      </w:pPr>
      <w:r w:rsidRPr="005E214E">
        <w:rPr>
          <w:rFonts w:asciiTheme="majorHAnsi" w:hAnsiTheme="majorHAnsi" w:cs="Arial"/>
          <w:b/>
          <w:sz w:val="24"/>
          <w:szCs w:val="24"/>
        </w:rPr>
        <w:t xml:space="preserve">Referencias doctrinales: </w:t>
      </w:r>
    </w:p>
    <w:p w14:paraId="712E6DAE" w14:textId="2B45D85B" w:rsidR="009208DF" w:rsidRPr="00D36D01" w:rsidRDefault="00FC24C1" w:rsidP="009208DF">
      <w:pPr>
        <w:pStyle w:val="Sinespaciado"/>
        <w:numPr>
          <w:ilvl w:val="0"/>
          <w:numId w:val="10"/>
        </w:numPr>
        <w:jc w:val="both"/>
        <w:rPr>
          <w:rFonts w:asciiTheme="majorHAnsi" w:hAnsiTheme="majorHAnsi" w:cstheme="majorHAnsi"/>
          <w:sz w:val="22"/>
          <w:szCs w:val="22"/>
        </w:rPr>
      </w:pPr>
      <w:r w:rsidRPr="00D36D01">
        <w:rPr>
          <w:rFonts w:asciiTheme="majorHAnsi" w:hAnsiTheme="majorHAnsi" w:cstheme="majorHAnsi"/>
          <w:sz w:val="22"/>
          <w:szCs w:val="22"/>
        </w:rPr>
        <w:t xml:space="preserve">BERNAL CUELLAR, Jaime y MONTEALEGRE LYNETT, Eduardo. </w:t>
      </w:r>
      <w:r w:rsidR="009208DF" w:rsidRPr="00D36D01">
        <w:rPr>
          <w:rFonts w:asciiTheme="majorHAnsi" w:hAnsiTheme="majorHAnsi" w:cstheme="majorHAnsi"/>
          <w:sz w:val="22"/>
          <w:szCs w:val="22"/>
        </w:rPr>
        <w:t>El Proceso Penal. Tomos I y II</w:t>
      </w:r>
      <w:r w:rsidRPr="00D36D01">
        <w:rPr>
          <w:rFonts w:asciiTheme="majorHAnsi" w:hAnsiTheme="majorHAnsi" w:cstheme="majorHAnsi"/>
          <w:sz w:val="22"/>
          <w:szCs w:val="22"/>
        </w:rPr>
        <w:t>.</w:t>
      </w:r>
    </w:p>
    <w:p w14:paraId="29A83B70" w14:textId="77777777" w:rsidR="00110AFD" w:rsidRPr="00D36D01" w:rsidRDefault="00110AFD" w:rsidP="00110AFD">
      <w:pPr>
        <w:pStyle w:val="Sinespaciado"/>
        <w:ind w:left="720"/>
        <w:jc w:val="both"/>
        <w:rPr>
          <w:rFonts w:asciiTheme="majorHAnsi" w:hAnsiTheme="majorHAnsi" w:cstheme="majorHAnsi"/>
          <w:sz w:val="22"/>
          <w:szCs w:val="22"/>
        </w:rPr>
      </w:pPr>
    </w:p>
    <w:p w14:paraId="3C5AD6D4" w14:textId="77777777" w:rsidR="00C943C8" w:rsidRPr="00D36D01" w:rsidRDefault="00FC24C1" w:rsidP="00C943C8">
      <w:pPr>
        <w:pStyle w:val="Prrafodelista"/>
        <w:numPr>
          <w:ilvl w:val="0"/>
          <w:numId w:val="10"/>
        </w:numPr>
        <w:jc w:val="both"/>
        <w:rPr>
          <w:rFonts w:asciiTheme="majorHAnsi" w:eastAsiaTheme="minorEastAsia" w:hAnsiTheme="majorHAnsi" w:cstheme="majorHAnsi"/>
          <w:lang w:val="es-ES_tradnl" w:eastAsia="es-ES"/>
        </w:rPr>
      </w:pPr>
      <w:r w:rsidRPr="00D36D01">
        <w:rPr>
          <w:rFonts w:asciiTheme="majorHAnsi" w:eastAsiaTheme="minorEastAsia" w:hAnsiTheme="majorHAnsi" w:cstheme="majorHAnsi"/>
          <w:lang w:val="es-ES_tradnl" w:eastAsia="es-ES"/>
        </w:rPr>
        <w:t>BAZZANI MONTOYA, Darío. El principio de oportunidad y la terminación anticipada del proceso en el nuevo sistema procesal penal. Bogotá: Escuela Judicial Rodrigo Lara Bonilla, 2006.</w:t>
      </w:r>
    </w:p>
    <w:p w14:paraId="46A21038" w14:textId="77777777" w:rsidR="00110AFD" w:rsidRPr="00D36D01" w:rsidRDefault="00110AFD" w:rsidP="00110AFD">
      <w:pPr>
        <w:pStyle w:val="Prrafodelista"/>
        <w:jc w:val="both"/>
        <w:rPr>
          <w:rFonts w:asciiTheme="majorHAnsi" w:eastAsiaTheme="minorEastAsia" w:hAnsiTheme="majorHAnsi" w:cstheme="majorHAnsi"/>
          <w:lang w:val="es-ES_tradnl" w:eastAsia="es-ES"/>
        </w:rPr>
      </w:pPr>
    </w:p>
    <w:p w14:paraId="52B5A7D5" w14:textId="7F27FE7C" w:rsidR="00C943C8" w:rsidRPr="00D36D01" w:rsidRDefault="00C943C8" w:rsidP="00C943C8">
      <w:pPr>
        <w:pStyle w:val="Prrafodelista"/>
        <w:numPr>
          <w:ilvl w:val="0"/>
          <w:numId w:val="10"/>
        </w:numPr>
        <w:jc w:val="both"/>
        <w:rPr>
          <w:rFonts w:asciiTheme="majorHAnsi" w:eastAsiaTheme="minorEastAsia" w:hAnsiTheme="majorHAnsi" w:cstheme="majorHAnsi"/>
          <w:lang w:val="es-ES_tradnl" w:eastAsia="es-ES"/>
        </w:rPr>
      </w:pPr>
      <w:r w:rsidRPr="00D36D01">
        <w:rPr>
          <w:rFonts w:asciiTheme="majorHAnsi" w:eastAsiaTheme="minorEastAsia" w:hAnsiTheme="majorHAnsi" w:cstheme="majorHAnsi"/>
          <w:lang w:val="es-ES_tradnl" w:eastAsia="es-ES"/>
        </w:rPr>
        <w:t>BAZZANI MONTOYA, Darío. La terminación anticipada del proceso penal por consenso y el principio de oportunidad. En: Reflexiones sobre el nuevo sistema procesal penal. Los grandes desafíos del juez penal colombiano. Bogotá: Instituto de estudios del ministerio público, 2006.</w:t>
      </w:r>
    </w:p>
    <w:p w14:paraId="1F882BA9" w14:textId="77777777" w:rsidR="00110AFD" w:rsidRPr="00D36D01" w:rsidRDefault="00110AFD" w:rsidP="00110AFD">
      <w:pPr>
        <w:pStyle w:val="Prrafodelista"/>
        <w:jc w:val="both"/>
        <w:rPr>
          <w:rFonts w:asciiTheme="majorHAnsi" w:eastAsiaTheme="minorEastAsia" w:hAnsiTheme="majorHAnsi" w:cstheme="majorHAnsi"/>
          <w:lang w:val="es-ES_tradnl" w:eastAsia="es-ES"/>
        </w:rPr>
      </w:pPr>
    </w:p>
    <w:p w14:paraId="76B2F96E" w14:textId="75DC3F31" w:rsidR="00A713C9" w:rsidRPr="00D36D01" w:rsidRDefault="00A713C9" w:rsidP="00A713C9">
      <w:pPr>
        <w:pStyle w:val="Prrafodelista"/>
        <w:numPr>
          <w:ilvl w:val="0"/>
          <w:numId w:val="10"/>
        </w:numPr>
        <w:jc w:val="both"/>
        <w:rPr>
          <w:rFonts w:asciiTheme="majorHAnsi" w:eastAsiaTheme="minorEastAsia" w:hAnsiTheme="majorHAnsi" w:cstheme="majorHAnsi"/>
          <w:lang w:val="es-ES_tradnl" w:eastAsia="es-ES"/>
        </w:rPr>
      </w:pPr>
      <w:r w:rsidRPr="00D36D01">
        <w:rPr>
          <w:rFonts w:asciiTheme="majorHAnsi" w:eastAsiaTheme="minorEastAsia" w:hAnsiTheme="majorHAnsi" w:cstheme="majorHAnsi"/>
          <w:lang w:val="es-ES_tradnl" w:eastAsia="es-ES"/>
        </w:rPr>
        <w:t>BAZZANI MONTOYA, Darío. Poderes del juez en la terminación anticipada del proceso por acuerdo y aceptación de cargos. En: Revista de Derecho Penal y Criminología, Vol. XXX, n.º 89. Bogotá: Universidad Externado de Colombia, julio-diciembre de 2009.</w:t>
      </w:r>
    </w:p>
    <w:p w14:paraId="34DF35A5" w14:textId="2CD9CF32" w:rsidR="009208DF" w:rsidRPr="00D36D01" w:rsidRDefault="009208DF" w:rsidP="00110AFD">
      <w:pPr>
        <w:pStyle w:val="Prrafodelista"/>
        <w:rPr>
          <w:rFonts w:asciiTheme="majorHAnsi" w:hAnsiTheme="majorHAnsi" w:cstheme="majorHAnsi"/>
          <w:b/>
        </w:rPr>
      </w:pPr>
    </w:p>
    <w:p w14:paraId="7DB314D9" w14:textId="512B834B" w:rsidR="00110AFD" w:rsidRPr="00D36D01" w:rsidRDefault="00E2687A" w:rsidP="00E2687A">
      <w:pPr>
        <w:pStyle w:val="Prrafodelista"/>
        <w:numPr>
          <w:ilvl w:val="0"/>
          <w:numId w:val="11"/>
        </w:numPr>
        <w:rPr>
          <w:rFonts w:asciiTheme="majorHAnsi" w:hAnsiTheme="majorHAnsi" w:cstheme="majorHAnsi"/>
          <w:b/>
        </w:rPr>
      </w:pPr>
      <w:r w:rsidRPr="00D36D01">
        <w:rPr>
          <w:rFonts w:asciiTheme="majorHAnsi" w:hAnsiTheme="majorHAnsi" w:cstheme="majorHAnsi"/>
          <w:b/>
        </w:rPr>
        <w:t>Jurisprudencia de la Corte Constitucional:</w:t>
      </w:r>
    </w:p>
    <w:p w14:paraId="51223CC3" w14:textId="77777777" w:rsidR="006447F2" w:rsidRPr="00D36D01" w:rsidRDefault="006447F2" w:rsidP="006447F2">
      <w:pPr>
        <w:pStyle w:val="Prrafodelista"/>
        <w:jc w:val="both"/>
        <w:rPr>
          <w:rFonts w:asciiTheme="majorHAnsi" w:hAnsiTheme="majorHAnsi" w:cstheme="majorHAnsi"/>
        </w:rPr>
      </w:pPr>
    </w:p>
    <w:p w14:paraId="2838273C" w14:textId="74288278" w:rsidR="006447F2" w:rsidRPr="00D36D01" w:rsidRDefault="006447F2" w:rsidP="006447F2">
      <w:pPr>
        <w:pStyle w:val="Prrafodelista"/>
        <w:numPr>
          <w:ilvl w:val="0"/>
          <w:numId w:val="12"/>
        </w:numPr>
        <w:jc w:val="both"/>
        <w:rPr>
          <w:rFonts w:asciiTheme="majorHAnsi" w:hAnsiTheme="majorHAnsi" w:cstheme="majorHAnsi"/>
        </w:rPr>
      </w:pPr>
      <w:r w:rsidRPr="00D36D01">
        <w:rPr>
          <w:rFonts w:asciiTheme="majorHAnsi" w:hAnsiTheme="majorHAnsi" w:cstheme="majorHAnsi"/>
        </w:rPr>
        <w:t xml:space="preserve">C-799/05. M.P. Jaime Araujo Rentería. </w:t>
      </w:r>
      <w:r w:rsidRPr="00D36D01">
        <w:rPr>
          <w:rFonts w:asciiTheme="majorHAnsi" w:hAnsiTheme="majorHAnsi" w:cstheme="majorHAnsi"/>
          <w:b/>
          <w:u w:val="single"/>
        </w:rPr>
        <w:t>Derecho de defensa. Ejercicio del derecho de defensa antes de tener la condición de imputado.</w:t>
      </w:r>
    </w:p>
    <w:p w14:paraId="0D45E412" w14:textId="77777777" w:rsidR="006447F2" w:rsidRPr="00D36D01" w:rsidRDefault="006447F2" w:rsidP="006447F2">
      <w:pPr>
        <w:pStyle w:val="Prrafodelista"/>
        <w:jc w:val="both"/>
        <w:rPr>
          <w:rFonts w:asciiTheme="majorHAnsi" w:hAnsiTheme="majorHAnsi" w:cstheme="majorHAnsi"/>
        </w:rPr>
      </w:pPr>
    </w:p>
    <w:p w14:paraId="4D4B2DA7" w14:textId="77777777" w:rsidR="006447F2" w:rsidRPr="00D36D01" w:rsidRDefault="006447F2" w:rsidP="006447F2">
      <w:pPr>
        <w:pStyle w:val="Prrafodelista"/>
        <w:numPr>
          <w:ilvl w:val="0"/>
          <w:numId w:val="12"/>
        </w:numPr>
        <w:jc w:val="both"/>
        <w:rPr>
          <w:rFonts w:asciiTheme="majorHAnsi" w:hAnsiTheme="majorHAnsi" w:cstheme="majorHAnsi"/>
          <w:u w:val="single"/>
        </w:rPr>
      </w:pPr>
      <w:r w:rsidRPr="00D36D01">
        <w:rPr>
          <w:rFonts w:asciiTheme="majorHAnsi" w:hAnsiTheme="majorHAnsi" w:cstheme="majorHAnsi"/>
        </w:rPr>
        <w:t xml:space="preserve">C-186/08. M.P. Nilson Pinilla </w:t>
      </w:r>
      <w:proofErr w:type="spellStart"/>
      <w:r w:rsidRPr="00D36D01">
        <w:rPr>
          <w:rFonts w:asciiTheme="majorHAnsi" w:hAnsiTheme="majorHAnsi" w:cstheme="majorHAnsi"/>
        </w:rPr>
        <w:t>Pinilla</w:t>
      </w:r>
      <w:proofErr w:type="spellEnd"/>
      <w:r w:rsidRPr="00D36D01">
        <w:rPr>
          <w:rFonts w:asciiTheme="majorHAnsi" w:hAnsiTheme="majorHAnsi" w:cstheme="majorHAnsi"/>
        </w:rPr>
        <w:t xml:space="preserve">. </w:t>
      </w:r>
      <w:r w:rsidRPr="00D36D01">
        <w:rPr>
          <w:rFonts w:asciiTheme="majorHAnsi" w:hAnsiTheme="majorHAnsi" w:cstheme="majorHAnsi"/>
          <w:b/>
        </w:rPr>
        <w:t xml:space="preserve">Derecho de defensa. Facultades de la defensa </w:t>
      </w:r>
      <w:r w:rsidRPr="00D36D01">
        <w:rPr>
          <w:rFonts w:asciiTheme="majorHAnsi" w:hAnsiTheme="majorHAnsi" w:cstheme="majorHAnsi"/>
          <w:b/>
          <w:u w:val="single"/>
        </w:rPr>
        <w:t>durante las etapas de indagación e investigación.</w:t>
      </w:r>
      <w:r w:rsidRPr="00D36D01">
        <w:rPr>
          <w:rFonts w:asciiTheme="majorHAnsi" w:hAnsiTheme="majorHAnsi" w:cstheme="majorHAnsi"/>
          <w:u w:val="single"/>
        </w:rPr>
        <w:t xml:space="preserve"> </w:t>
      </w:r>
    </w:p>
    <w:p w14:paraId="58233276" w14:textId="77777777" w:rsidR="006447F2" w:rsidRPr="00D36D01" w:rsidRDefault="006447F2" w:rsidP="006447F2">
      <w:pPr>
        <w:pStyle w:val="Prrafodelista"/>
        <w:jc w:val="both"/>
        <w:rPr>
          <w:rFonts w:asciiTheme="majorHAnsi" w:hAnsiTheme="majorHAnsi" w:cstheme="majorHAnsi"/>
        </w:rPr>
      </w:pPr>
    </w:p>
    <w:p w14:paraId="5953CE0E" w14:textId="77777777" w:rsidR="006447F2" w:rsidRPr="00D36D01" w:rsidRDefault="006447F2" w:rsidP="006447F2">
      <w:pPr>
        <w:pStyle w:val="Prrafodelista"/>
        <w:numPr>
          <w:ilvl w:val="0"/>
          <w:numId w:val="12"/>
        </w:numPr>
        <w:jc w:val="both"/>
        <w:rPr>
          <w:rFonts w:asciiTheme="majorHAnsi" w:hAnsiTheme="majorHAnsi" w:cstheme="majorHAnsi"/>
          <w:b/>
        </w:rPr>
      </w:pPr>
      <w:r w:rsidRPr="00D36D01">
        <w:rPr>
          <w:rFonts w:asciiTheme="majorHAnsi" w:hAnsiTheme="majorHAnsi" w:cstheme="majorHAnsi"/>
        </w:rPr>
        <w:t xml:space="preserve">C-425/08. M.P. Marco Gerardo Monroy Cabra. </w:t>
      </w:r>
      <w:r w:rsidRPr="00D36D01">
        <w:rPr>
          <w:rFonts w:asciiTheme="majorHAnsi" w:hAnsiTheme="majorHAnsi" w:cstheme="majorHAnsi"/>
          <w:b/>
        </w:rPr>
        <w:t>Derecho de defensa. Defensa material.</w:t>
      </w:r>
    </w:p>
    <w:p w14:paraId="7F14CC38" w14:textId="77777777" w:rsidR="006447F2" w:rsidRPr="00D36D01" w:rsidRDefault="006447F2" w:rsidP="006447F2">
      <w:pPr>
        <w:pStyle w:val="Prrafodelista"/>
        <w:jc w:val="both"/>
        <w:rPr>
          <w:rFonts w:asciiTheme="majorHAnsi" w:hAnsiTheme="majorHAnsi" w:cstheme="majorHAnsi"/>
        </w:rPr>
      </w:pPr>
    </w:p>
    <w:p w14:paraId="5BEB7814" w14:textId="77777777" w:rsidR="006447F2" w:rsidRPr="00D36D01" w:rsidRDefault="006447F2" w:rsidP="006447F2">
      <w:pPr>
        <w:pStyle w:val="Prrafodelista"/>
        <w:numPr>
          <w:ilvl w:val="0"/>
          <w:numId w:val="12"/>
        </w:numPr>
        <w:jc w:val="both"/>
        <w:rPr>
          <w:rFonts w:asciiTheme="majorHAnsi" w:hAnsiTheme="majorHAnsi" w:cstheme="majorHAnsi"/>
        </w:rPr>
      </w:pPr>
      <w:r w:rsidRPr="00D36D01">
        <w:rPr>
          <w:rFonts w:asciiTheme="majorHAnsi" w:hAnsiTheme="majorHAnsi" w:cstheme="majorHAnsi"/>
        </w:rPr>
        <w:t xml:space="preserve">C-025/09. M.P. Rodrigo Escobar Gil. </w:t>
      </w:r>
      <w:r w:rsidRPr="00D36D01">
        <w:rPr>
          <w:rFonts w:asciiTheme="majorHAnsi" w:hAnsiTheme="majorHAnsi" w:cstheme="majorHAnsi"/>
          <w:b/>
        </w:rPr>
        <w:t>Derecho de defensa.</w:t>
      </w:r>
      <w:r w:rsidRPr="00D36D01">
        <w:rPr>
          <w:rFonts w:asciiTheme="majorHAnsi" w:hAnsiTheme="majorHAnsi" w:cstheme="majorHAnsi"/>
        </w:rPr>
        <w:t xml:space="preserve"> </w:t>
      </w:r>
      <w:r w:rsidRPr="00D36D01">
        <w:rPr>
          <w:rFonts w:asciiTheme="majorHAnsi" w:hAnsiTheme="majorHAnsi" w:cstheme="majorHAnsi"/>
          <w:b/>
          <w:u w:val="single"/>
        </w:rPr>
        <w:t>Ejercicio del derecho de defensa durante la etapa de investigación.</w:t>
      </w:r>
      <w:r w:rsidRPr="00D36D01">
        <w:rPr>
          <w:rFonts w:asciiTheme="majorHAnsi" w:hAnsiTheme="majorHAnsi" w:cstheme="majorHAnsi"/>
        </w:rPr>
        <w:t xml:space="preserve"> </w:t>
      </w:r>
      <w:r w:rsidRPr="00D36D01">
        <w:rPr>
          <w:rFonts w:asciiTheme="majorHAnsi" w:hAnsiTheme="majorHAnsi" w:cstheme="majorHAnsi"/>
          <w:b/>
          <w:u w:val="single"/>
        </w:rPr>
        <w:t xml:space="preserve">La defensa está facultada para intervenir en las audiencias de legalización de aquellos actos de investigación que supongan injerencia en derechos fundamentales, </w:t>
      </w:r>
      <w:proofErr w:type="spellStart"/>
      <w:r w:rsidRPr="00D36D01">
        <w:rPr>
          <w:rFonts w:asciiTheme="majorHAnsi" w:hAnsiTheme="majorHAnsi" w:cstheme="majorHAnsi"/>
          <w:b/>
          <w:u w:val="single"/>
        </w:rPr>
        <w:t>aún</w:t>
      </w:r>
      <w:proofErr w:type="spellEnd"/>
      <w:r w:rsidRPr="00D36D01">
        <w:rPr>
          <w:rFonts w:asciiTheme="majorHAnsi" w:hAnsiTheme="majorHAnsi" w:cstheme="majorHAnsi"/>
          <w:b/>
          <w:u w:val="single"/>
        </w:rPr>
        <w:t xml:space="preserve"> cuando se adelanten en etapa de indagación.</w:t>
      </w:r>
      <w:r w:rsidRPr="00D36D01">
        <w:rPr>
          <w:rFonts w:asciiTheme="majorHAnsi" w:hAnsiTheme="majorHAnsi" w:cstheme="majorHAnsi"/>
        </w:rPr>
        <w:t xml:space="preserve">  </w:t>
      </w:r>
    </w:p>
    <w:p w14:paraId="5708D8E4" w14:textId="77777777" w:rsidR="006447F2" w:rsidRPr="00D36D01" w:rsidRDefault="006447F2" w:rsidP="006447F2">
      <w:pPr>
        <w:pStyle w:val="Prrafodelista"/>
        <w:jc w:val="both"/>
        <w:rPr>
          <w:rFonts w:asciiTheme="majorHAnsi" w:hAnsiTheme="majorHAnsi" w:cstheme="majorHAnsi"/>
          <w:b/>
          <w:u w:val="single"/>
        </w:rPr>
      </w:pPr>
    </w:p>
    <w:p w14:paraId="09758B5B" w14:textId="77777777" w:rsidR="006447F2" w:rsidRPr="00D36D01" w:rsidRDefault="006447F2" w:rsidP="006447F2">
      <w:pPr>
        <w:pStyle w:val="Prrafodelista"/>
        <w:numPr>
          <w:ilvl w:val="0"/>
          <w:numId w:val="12"/>
        </w:numPr>
        <w:jc w:val="both"/>
        <w:rPr>
          <w:rFonts w:asciiTheme="majorHAnsi" w:hAnsiTheme="majorHAnsi" w:cstheme="majorHAnsi"/>
          <w:b/>
        </w:rPr>
      </w:pPr>
      <w:r w:rsidRPr="00D36D01">
        <w:rPr>
          <w:rFonts w:asciiTheme="majorHAnsi" w:hAnsiTheme="majorHAnsi" w:cstheme="majorHAnsi"/>
        </w:rPr>
        <w:t xml:space="preserve">C-559/19. M.P. Cristina Pardo Schlesinger. </w:t>
      </w:r>
      <w:r w:rsidRPr="00D36D01">
        <w:rPr>
          <w:rFonts w:asciiTheme="majorHAnsi" w:hAnsiTheme="majorHAnsi" w:cstheme="majorHAnsi"/>
          <w:b/>
        </w:rPr>
        <w:t xml:space="preserve">Principio de publicidad, restricciones fundadas en consideraciones de orden público. </w:t>
      </w:r>
    </w:p>
    <w:p w14:paraId="7D6FE471" w14:textId="77777777" w:rsidR="006447F2" w:rsidRPr="00D36D01" w:rsidRDefault="006447F2" w:rsidP="006447F2">
      <w:pPr>
        <w:pStyle w:val="Prrafodelista"/>
        <w:jc w:val="both"/>
        <w:rPr>
          <w:rFonts w:asciiTheme="majorHAnsi" w:hAnsiTheme="majorHAnsi" w:cstheme="majorHAnsi"/>
        </w:rPr>
      </w:pPr>
    </w:p>
    <w:p w14:paraId="1A3CAAC2" w14:textId="732DCF4B" w:rsidR="006447F2" w:rsidRPr="00D36D01" w:rsidRDefault="006447F2" w:rsidP="006447F2">
      <w:pPr>
        <w:pStyle w:val="Prrafodelista"/>
        <w:numPr>
          <w:ilvl w:val="0"/>
          <w:numId w:val="12"/>
        </w:numPr>
        <w:jc w:val="both"/>
        <w:rPr>
          <w:rFonts w:asciiTheme="majorHAnsi" w:hAnsiTheme="majorHAnsi" w:cstheme="majorHAnsi"/>
          <w:b/>
        </w:rPr>
      </w:pPr>
      <w:r w:rsidRPr="00D36D01">
        <w:rPr>
          <w:rFonts w:asciiTheme="majorHAnsi" w:hAnsiTheme="majorHAnsi" w:cstheme="majorHAnsi"/>
        </w:rPr>
        <w:t xml:space="preserve">C-708/05. M.P. Manuel José Cepeda Espinosa. </w:t>
      </w:r>
      <w:r w:rsidRPr="00D36D01">
        <w:rPr>
          <w:rFonts w:asciiTheme="majorHAnsi" w:hAnsiTheme="majorHAnsi" w:cstheme="majorHAnsi"/>
          <w:b/>
        </w:rPr>
        <w:t xml:space="preserve">Principio de favorabilidad. Aplicación retroactiva o </w:t>
      </w:r>
      <w:proofErr w:type="spellStart"/>
      <w:r w:rsidR="00165B84" w:rsidRPr="00D36D01">
        <w:rPr>
          <w:rFonts w:asciiTheme="majorHAnsi" w:hAnsiTheme="majorHAnsi" w:cstheme="majorHAnsi"/>
          <w:b/>
        </w:rPr>
        <w:t>ultractiva</w:t>
      </w:r>
      <w:proofErr w:type="spellEnd"/>
      <w:r w:rsidRPr="00D36D01">
        <w:rPr>
          <w:rFonts w:asciiTheme="majorHAnsi" w:hAnsiTheme="majorHAnsi" w:cstheme="majorHAnsi"/>
          <w:b/>
        </w:rPr>
        <w:t xml:space="preserve"> de normas procesales con efectos sustanciales. </w:t>
      </w:r>
    </w:p>
    <w:p w14:paraId="246FA780" w14:textId="054E4953" w:rsidR="006447F2" w:rsidRPr="00D36D01" w:rsidRDefault="006447F2" w:rsidP="006447F2">
      <w:pPr>
        <w:pStyle w:val="Sinespaciado"/>
        <w:numPr>
          <w:ilvl w:val="0"/>
          <w:numId w:val="12"/>
        </w:numPr>
        <w:jc w:val="both"/>
        <w:rPr>
          <w:rFonts w:asciiTheme="majorHAnsi" w:hAnsiTheme="majorHAnsi" w:cstheme="majorHAnsi"/>
          <w:sz w:val="22"/>
          <w:szCs w:val="22"/>
          <w:lang w:bidi="es-ES"/>
        </w:rPr>
      </w:pPr>
      <w:r w:rsidRPr="00D36D01">
        <w:rPr>
          <w:rFonts w:asciiTheme="majorHAnsi" w:hAnsiTheme="majorHAnsi" w:cstheme="majorHAnsi"/>
          <w:sz w:val="22"/>
          <w:szCs w:val="22"/>
          <w:lang w:bidi="es-ES"/>
        </w:rPr>
        <w:t>C-1287/01.</w:t>
      </w:r>
      <w:r w:rsidR="00FE7461" w:rsidRPr="00D36D01">
        <w:rPr>
          <w:rFonts w:asciiTheme="majorHAnsi" w:hAnsiTheme="majorHAnsi" w:cstheme="majorHAnsi"/>
          <w:sz w:val="22"/>
          <w:szCs w:val="22"/>
          <w:lang w:bidi="es-ES"/>
        </w:rPr>
        <w:t xml:space="preserve"> M.P.</w:t>
      </w:r>
      <w:r w:rsidRPr="00D36D01">
        <w:rPr>
          <w:rFonts w:asciiTheme="majorHAnsi" w:hAnsiTheme="majorHAnsi" w:cstheme="majorHAnsi"/>
          <w:sz w:val="22"/>
          <w:szCs w:val="22"/>
          <w:lang w:bidi="es-ES"/>
        </w:rPr>
        <w:t xml:space="preserve"> </w:t>
      </w:r>
      <w:r w:rsidR="00FE7461" w:rsidRPr="00D36D01">
        <w:rPr>
          <w:rFonts w:asciiTheme="majorHAnsi" w:hAnsiTheme="majorHAnsi" w:cstheme="majorHAnsi"/>
          <w:sz w:val="22"/>
          <w:szCs w:val="22"/>
          <w:lang w:bidi="es-ES"/>
        </w:rPr>
        <w:t xml:space="preserve">Marco Gerardo Monroy Cabra. </w:t>
      </w:r>
      <w:r w:rsidRPr="00D36D01">
        <w:rPr>
          <w:rFonts w:asciiTheme="majorHAnsi" w:hAnsiTheme="majorHAnsi" w:cstheme="majorHAnsi"/>
          <w:b/>
          <w:sz w:val="22"/>
          <w:szCs w:val="22"/>
          <w:lang w:bidi="es-ES"/>
        </w:rPr>
        <w:t>Tema: Principio de no auto incriminación.</w:t>
      </w:r>
    </w:p>
    <w:p w14:paraId="09BA2AB0" w14:textId="77777777" w:rsidR="00395D85" w:rsidRPr="00D36D01" w:rsidRDefault="00395D85" w:rsidP="00395D85">
      <w:pPr>
        <w:pStyle w:val="Sinespaciado"/>
        <w:ind w:left="720"/>
        <w:jc w:val="both"/>
        <w:rPr>
          <w:rFonts w:asciiTheme="majorHAnsi" w:eastAsia="AngsanaUPC" w:hAnsiTheme="majorHAnsi" w:cstheme="majorHAnsi"/>
          <w:b/>
          <w:color w:val="000000"/>
          <w:sz w:val="22"/>
          <w:szCs w:val="22"/>
          <w:lang w:bidi="es-ES"/>
        </w:rPr>
      </w:pPr>
    </w:p>
    <w:p w14:paraId="22714044" w14:textId="3D260CAA" w:rsidR="00395D85" w:rsidRPr="00D36D01" w:rsidRDefault="00395D85" w:rsidP="00395D85">
      <w:pPr>
        <w:pStyle w:val="Sinespaciado"/>
        <w:numPr>
          <w:ilvl w:val="0"/>
          <w:numId w:val="12"/>
        </w:numPr>
        <w:jc w:val="both"/>
        <w:rPr>
          <w:rFonts w:asciiTheme="majorHAnsi" w:eastAsia="AngsanaUPC" w:hAnsiTheme="majorHAnsi" w:cstheme="majorHAnsi"/>
          <w:b/>
          <w:color w:val="000000"/>
          <w:sz w:val="22"/>
          <w:szCs w:val="22"/>
          <w:lang w:bidi="es-ES"/>
        </w:rPr>
      </w:pPr>
      <w:r w:rsidRPr="00D36D01">
        <w:rPr>
          <w:rFonts w:asciiTheme="majorHAnsi" w:eastAsia="AngsanaUPC" w:hAnsiTheme="majorHAnsi" w:cstheme="majorHAnsi"/>
          <w:color w:val="000000"/>
          <w:sz w:val="22"/>
          <w:szCs w:val="22"/>
          <w:lang w:bidi="es-ES"/>
        </w:rPr>
        <w:t xml:space="preserve">SU-047/99. Corte Constitucional Magistrados Ponentes: Carlos Gaviria Díaz y Alejandro Martínez Caballero. </w:t>
      </w:r>
      <w:r w:rsidRPr="00D36D01">
        <w:rPr>
          <w:rFonts w:asciiTheme="majorHAnsi" w:eastAsia="AngsanaUPC" w:hAnsiTheme="majorHAnsi" w:cstheme="majorHAnsi"/>
          <w:b/>
          <w:color w:val="000000"/>
          <w:sz w:val="22"/>
          <w:szCs w:val="22"/>
          <w:lang w:bidi="es-ES"/>
        </w:rPr>
        <w:t>Tema: Fuero parlamentario/ inviolabilidad parlamentaria.</w:t>
      </w:r>
    </w:p>
    <w:p w14:paraId="6DBB242D" w14:textId="77777777" w:rsidR="00395D85" w:rsidRPr="00D36D01" w:rsidRDefault="00395D85" w:rsidP="00395D85">
      <w:pPr>
        <w:pStyle w:val="Sinespaciado"/>
        <w:ind w:left="720"/>
        <w:jc w:val="both"/>
        <w:rPr>
          <w:rFonts w:asciiTheme="majorHAnsi" w:eastAsia="AngsanaUPC" w:hAnsiTheme="majorHAnsi" w:cstheme="majorHAnsi"/>
          <w:b/>
          <w:color w:val="000000"/>
          <w:sz w:val="22"/>
          <w:szCs w:val="22"/>
          <w:lang w:bidi="es-ES"/>
        </w:rPr>
      </w:pPr>
    </w:p>
    <w:p w14:paraId="3F67CA62" w14:textId="36DCFB7B" w:rsidR="00395D85" w:rsidRPr="00D36D01" w:rsidRDefault="00395D85" w:rsidP="00395D85">
      <w:pPr>
        <w:pStyle w:val="Sinespaciado"/>
        <w:numPr>
          <w:ilvl w:val="0"/>
          <w:numId w:val="12"/>
        </w:numPr>
        <w:jc w:val="both"/>
        <w:rPr>
          <w:rFonts w:asciiTheme="majorHAnsi" w:eastAsia="AngsanaUPC" w:hAnsiTheme="majorHAnsi" w:cstheme="majorHAnsi"/>
          <w:b/>
          <w:color w:val="000000"/>
          <w:sz w:val="22"/>
          <w:szCs w:val="22"/>
          <w:lang w:bidi="es-ES"/>
        </w:rPr>
      </w:pPr>
      <w:r w:rsidRPr="00D36D01">
        <w:rPr>
          <w:rFonts w:asciiTheme="majorHAnsi" w:eastAsia="AngsanaUPC" w:hAnsiTheme="majorHAnsi" w:cstheme="majorHAnsi"/>
          <w:color w:val="000000"/>
          <w:sz w:val="22"/>
          <w:szCs w:val="22"/>
          <w:lang w:bidi="es-ES"/>
        </w:rPr>
        <w:t>C-358/97. Magistrado Ponente: Dr. Eduardo Cifuentes Muñoz.</w:t>
      </w:r>
      <w:r w:rsidRPr="00D36D01">
        <w:rPr>
          <w:rFonts w:asciiTheme="majorHAnsi" w:eastAsia="AngsanaUPC" w:hAnsiTheme="majorHAnsi" w:cstheme="majorHAnsi"/>
          <w:b/>
          <w:color w:val="000000"/>
          <w:sz w:val="22"/>
          <w:szCs w:val="22"/>
          <w:lang w:bidi="es-ES"/>
        </w:rPr>
        <w:t xml:space="preserve"> Tema: Fuero Penal Militar/ conexidad con el servicio/ no opera en delitos de lesa humanidad.</w:t>
      </w:r>
    </w:p>
    <w:p w14:paraId="12AFC55F" w14:textId="77777777" w:rsidR="000D7254" w:rsidRPr="00D36D01" w:rsidRDefault="000D7254" w:rsidP="000D7254">
      <w:pPr>
        <w:pStyle w:val="Sinespaciado"/>
        <w:ind w:left="720"/>
        <w:jc w:val="both"/>
        <w:rPr>
          <w:rFonts w:asciiTheme="majorHAnsi" w:eastAsia="AngsanaUPC" w:hAnsiTheme="majorHAnsi" w:cstheme="majorHAnsi"/>
          <w:b/>
          <w:color w:val="000000"/>
          <w:sz w:val="22"/>
          <w:szCs w:val="22"/>
          <w:lang w:bidi="es-ES"/>
        </w:rPr>
      </w:pPr>
    </w:p>
    <w:p w14:paraId="57D99B6B" w14:textId="5E4742D3" w:rsidR="00A90114" w:rsidRPr="00D36D01" w:rsidRDefault="00A90114" w:rsidP="00A90114">
      <w:pPr>
        <w:pStyle w:val="Sinespaciado"/>
        <w:numPr>
          <w:ilvl w:val="0"/>
          <w:numId w:val="12"/>
        </w:numPr>
        <w:jc w:val="both"/>
        <w:rPr>
          <w:rFonts w:asciiTheme="majorHAnsi" w:eastAsia="AngsanaUPC" w:hAnsiTheme="majorHAnsi" w:cstheme="majorHAnsi"/>
          <w:b/>
          <w:color w:val="000000"/>
          <w:sz w:val="22"/>
          <w:szCs w:val="22"/>
          <w:lang w:bidi="es-ES"/>
        </w:rPr>
      </w:pPr>
      <w:r w:rsidRPr="00D36D01">
        <w:rPr>
          <w:rFonts w:asciiTheme="majorHAnsi" w:eastAsia="AngsanaUPC" w:hAnsiTheme="majorHAnsi" w:cstheme="majorHAnsi"/>
          <w:color w:val="000000"/>
          <w:sz w:val="22"/>
          <w:szCs w:val="22"/>
          <w:lang w:bidi="es-ES"/>
        </w:rPr>
        <w:t>SU</w:t>
      </w:r>
      <w:r w:rsidR="000D7254" w:rsidRPr="00D36D01">
        <w:rPr>
          <w:rFonts w:asciiTheme="majorHAnsi" w:eastAsia="AngsanaUPC" w:hAnsiTheme="majorHAnsi" w:cstheme="majorHAnsi"/>
          <w:color w:val="000000"/>
          <w:sz w:val="22"/>
          <w:szCs w:val="22"/>
          <w:lang w:bidi="es-ES"/>
        </w:rPr>
        <w:t>-</w:t>
      </w:r>
      <w:r w:rsidRPr="00D36D01">
        <w:rPr>
          <w:rFonts w:asciiTheme="majorHAnsi" w:eastAsia="AngsanaUPC" w:hAnsiTheme="majorHAnsi" w:cstheme="majorHAnsi"/>
          <w:color w:val="000000"/>
          <w:sz w:val="22"/>
          <w:szCs w:val="22"/>
          <w:lang w:bidi="es-ES"/>
        </w:rPr>
        <w:t>1184/01</w:t>
      </w:r>
      <w:r w:rsidR="000D7254" w:rsidRPr="00D36D01">
        <w:rPr>
          <w:rFonts w:asciiTheme="majorHAnsi" w:eastAsia="AngsanaUPC" w:hAnsiTheme="majorHAnsi" w:cstheme="majorHAnsi"/>
          <w:color w:val="000000"/>
          <w:sz w:val="22"/>
          <w:szCs w:val="22"/>
          <w:lang w:bidi="es-ES"/>
        </w:rPr>
        <w:t>. M.P.</w:t>
      </w:r>
      <w:r w:rsidRPr="00D36D01">
        <w:rPr>
          <w:rFonts w:asciiTheme="majorHAnsi" w:eastAsia="AngsanaUPC" w:hAnsiTheme="majorHAnsi" w:cstheme="majorHAnsi"/>
          <w:color w:val="000000"/>
          <w:sz w:val="22"/>
          <w:szCs w:val="22"/>
          <w:lang w:bidi="es-ES"/>
        </w:rPr>
        <w:t xml:space="preserve"> </w:t>
      </w:r>
      <w:r w:rsidR="000D7254" w:rsidRPr="00D36D01">
        <w:rPr>
          <w:rFonts w:asciiTheme="majorHAnsi" w:eastAsia="AngsanaUPC" w:hAnsiTheme="majorHAnsi" w:cstheme="majorHAnsi"/>
          <w:color w:val="000000"/>
          <w:sz w:val="22"/>
          <w:szCs w:val="22"/>
          <w:lang w:bidi="es-ES"/>
        </w:rPr>
        <w:t xml:space="preserve">Eduardo Montealegre </w:t>
      </w:r>
      <w:proofErr w:type="spellStart"/>
      <w:r w:rsidR="000D7254" w:rsidRPr="00D36D01">
        <w:rPr>
          <w:rFonts w:asciiTheme="majorHAnsi" w:eastAsia="AngsanaUPC" w:hAnsiTheme="majorHAnsi" w:cstheme="majorHAnsi"/>
          <w:color w:val="000000"/>
          <w:sz w:val="22"/>
          <w:szCs w:val="22"/>
          <w:lang w:bidi="es-ES"/>
        </w:rPr>
        <w:t>Lynett</w:t>
      </w:r>
      <w:proofErr w:type="spellEnd"/>
      <w:r w:rsidRPr="00D36D01">
        <w:rPr>
          <w:rFonts w:asciiTheme="majorHAnsi" w:eastAsia="AngsanaUPC" w:hAnsiTheme="majorHAnsi" w:cstheme="majorHAnsi"/>
          <w:color w:val="000000"/>
          <w:sz w:val="22"/>
          <w:szCs w:val="22"/>
          <w:lang w:bidi="es-ES"/>
        </w:rPr>
        <w:t>.</w:t>
      </w:r>
      <w:r w:rsidRPr="00D36D01">
        <w:rPr>
          <w:rFonts w:asciiTheme="majorHAnsi" w:eastAsia="AngsanaUPC" w:hAnsiTheme="majorHAnsi" w:cstheme="majorHAnsi"/>
          <w:b/>
          <w:color w:val="000000"/>
          <w:sz w:val="22"/>
          <w:szCs w:val="22"/>
          <w:lang w:bidi="es-ES"/>
        </w:rPr>
        <w:t xml:space="preserve"> Tema Juez Natural, Fuero Penal militar.</w:t>
      </w:r>
    </w:p>
    <w:p w14:paraId="312D4ADF" w14:textId="77777777" w:rsidR="000D7254" w:rsidRPr="00D36D01" w:rsidRDefault="000D7254" w:rsidP="000D7254">
      <w:pPr>
        <w:pStyle w:val="Sinespaciado"/>
        <w:ind w:left="720"/>
        <w:jc w:val="both"/>
        <w:rPr>
          <w:rFonts w:asciiTheme="majorHAnsi" w:eastAsia="AngsanaUPC" w:hAnsiTheme="majorHAnsi" w:cstheme="majorHAnsi"/>
          <w:b/>
          <w:color w:val="000000"/>
          <w:sz w:val="22"/>
          <w:szCs w:val="22"/>
          <w:lang w:bidi="es-ES"/>
        </w:rPr>
      </w:pPr>
    </w:p>
    <w:p w14:paraId="3C4BB366" w14:textId="643DF1F8" w:rsidR="006A4E28" w:rsidRPr="00D36D01" w:rsidRDefault="008E64A1" w:rsidP="000D7254">
      <w:pPr>
        <w:pStyle w:val="Sinespaciado"/>
        <w:numPr>
          <w:ilvl w:val="0"/>
          <w:numId w:val="12"/>
        </w:numPr>
        <w:jc w:val="both"/>
        <w:rPr>
          <w:rFonts w:asciiTheme="majorHAnsi" w:hAnsiTheme="majorHAnsi" w:cstheme="majorHAnsi"/>
          <w:sz w:val="22"/>
          <w:szCs w:val="22"/>
          <w:lang w:bidi="es-ES"/>
        </w:rPr>
      </w:pPr>
      <w:r w:rsidRPr="00D36D01">
        <w:rPr>
          <w:rFonts w:asciiTheme="majorHAnsi" w:hAnsiTheme="majorHAnsi" w:cstheme="majorHAnsi"/>
          <w:sz w:val="22"/>
          <w:szCs w:val="22"/>
        </w:rPr>
        <w:t xml:space="preserve">C-920/07. M.P. Jaime Córdoba Triviño. </w:t>
      </w:r>
      <w:r w:rsidRPr="00D36D01">
        <w:rPr>
          <w:rFonts w:asciiTheme="majorHAnsi" w:hAnsiTheme="majorHAnsi" w:cstheme="majorHAnsi"/>
          <w:b/>
          <w:sz w:val="22"/>
          <w:szCs w:val="22"/>
        </w:rPr>
        <w:t>Preclusión de la investigación.</w:t>
      </w:r>
    </w:p>
    <w:p w14:paraId="798AB834" w14:textId="77777777" w:rsidR="00165B84" w:rsidRPr="00D36D01" w:rsidRDefault="00165B84" w:rsidP="00165B84">
      <w:pPr>
        <w:pStyle w:val="Prrafodelista"/>
        <w:jc w:val="both"/>
        <w:rPr>
          <w:rFonts w:asciiTheme="majorHAnsi" w:hAnsiTheme="majorHAnsi" w:cstheme="majorHAnsi"/>
          <w:b/>
        </w:rPr>
      </w:pPr>
    </w:p>
    <w:p w14:paraId="44F187DC" w14:textId="6453FBFA" w:rsidR="00165B84" w:rsidRPr="00D36D01" w:rsidRDefault="00BB06C2" w:rsidP="00165B84">
      <w:pPr>
        <w:pStyle w:val="Prrafodelista"/>
        <w:numPr>
          <w:ilvl w:val="0"/>
          <w:numId w:val="12"/>
        </w:numPr>
        <w:jc w:val="both"/>
        <w:rPr>
          <w:rFonts w:asciiTheme="majorHAnsi" w:hAnsiTheme="majorHAnsi" w:cstheme="majorHAnsi"/>
          <w:b/>
        </w:rPr>
      </w:pPr>
      <w:r w:rsidRPr="00D36D01">
        <w:rPr>
          <w:rFonts w:asciiTheme="majorHAnsi" w:hAnsiTheme="majorHAnsi" w:cstheme="majorHAnsi"/>
        </w:rPr>
        <w:t xml:space="preserve">C-673/05. M.P. Clara Inés Vargas Hernández. </w:t>
      </w:r>
      <w:r w:rsidRPr="00D36D01">
        <w:rPr>
          <w:rFonts w:asciiTheme="majorHAnsi" w:hAnsiTheme="majorHAnsi" w:cstheme="majorHAnsi"/>
          <w:b/>
        </w:rPr>
        <w:t xml:space="preserve">Principio de oportunidad. Exigencias, derivadas del marco constitucional, de las causales para dar aplicación al principio de oportunidad. </w:t>
      </w:r>
    </w:p>
    <w:p w14:paraId="00809D14" w14:textId="77777777" w:rsidR="00165B84" w:rsidRPr="00D36D01" w:rsidRDefault="00165B84" w:rsidP="00165B84">
      <w:pPr>
        <w:pStyle w:val="Prrafodelista"/>
        <w:jc w:val="both"/>
        <w:rPr>
          <w:rFonts w:asciiTheme="majorHAnsi" w:hAnsiTheme="majorHAnsi" w:cstheme="majorHAnsi"/>
          <w:b/>
        </w:rPr>
      </w:pPr>
    </w:p>
    <w:p w14:paraId="23B70D2E" w14:textId="6780044A" w:rsidR="00165B84" w:rsidRPr="00D36D01" w:rsidRDefault="00165B84" w:rsidP="00BB06C2">
      <w:pPr>
        <w:pStyle w:val="Prrafodelista"/>
        <w:numPr>
          <w:ilvl w:val="0"/>
          <w:numId w:val="12"/>
        </w:numPr>
        <w:jc w:val="both"/>
        <w:rPr>
          <w:rFonts w:asciiTheme="majorHAnsi" w:hAnsiTheme="majorHAnsi" w:cstheme="majorHAnsi"/>
          <w:b/>
        </w:rPr>
      </w:pPr>
      <w:r w:rsidRPr="00D36D01">
        <w:rPr>
          <w:rFonts w:asciiTheme="majorHAnsi" w:hAnsiTheme="majorHAnsi" w:cstheme="majorHAnsi"/>
        </w:rPr>
        <w:t xml:space="preserve">C-177/05. M.P. Manuel José Cepeda Espinosa. </w:t>
      </w:r>
      <w:r w:rsidRPr="00D36D01">
        <w:rPr>
          <w:rFonts w:asciiTheme="majorHAnsi" w:hAnsiTheme="majorHAnsi" w:cstheme="majorHAnsi"/>
          <w:b/>
        </w:rPr>
        <w:t>Denuncia. Inadmisión de la denuncia.</w:t>
      </w:r>
    </w:p>
    <w:p w14:paraId="660BDB0D" w14:textId="77777777" w:rsidR="00165B84" w:rsidRPr="00D36D01" w:rsidRDefault="00165B84" w:rsidP="00165B84">
      <w:pPr>
        <w:pStyle w:val="Prrafodelista"/>
        <w:jc w:val="both"/>
        <w:rPr>
          <w:rFonts w:asciiTheme="majorHAnsi" w:hAnsiTheme="majorHAnsi" w:cstheme="majorHAnsi"/>
          <w:b/>
        </w:rPr>
      </w:pPr>
    </w:p>
    <w:p w14:paraId="7753CB38" w14:textId="0FB6774F" w:rsidR="00BB06C2" w:rsidRPr="00D36D01" w:rsidRDefault="00BB06C2" w:rsidP="00BB06C2">
      <w:pPr>
        <w:pStyle w:val="Prrafodelista"/>
        <w:numPr>
          <w:ilvl w:val="0"/>
          <w:numId w:val="12"/>
        </w:numPr>
        <w:jc w:val="both"/>
        <w:rPr>
          <w:rFonts w:asciiTheme="majorHAnsi" w:hAnsiTheme="majorHAnsi" w:cstheme="majorHAnsi"/>
          <w:b/>
        </w:rPr>
      </w:pPr>
      <w:r w:rsidRPr="00D36D01">
        <w:rPr>
          <w:rFonts w:asciiTheme="majorHAnsi" w:hAnsiTheme="majorHAnsi" w:cstheme="majorHAnsi"/>
        </w:rPr>
        <w:t xml:space="preserve">T-907/12. M.P. Jorge Ignacio Pretelt Chaljub. </w:t>
      </w:r>
      <w:r w:rsidRPr="00D36D01">
        <w:rPr>
          <w:rFonts w:asciiTheme="majorHAnsi" w:hAnsiTheme="majorHAnsi" w:cstheme="majorHAnsi"/>
          <w:b/>
        </w:rPr>
        <w:t>Principio de Oportunidad. Características.</w:t>
      </w:r>
    </w:p>
    <w:p w14:paraId="2B6BA4F7" w14:textId="77777777" w:rsidR="006022F8" w:rsidRPr="00D36D01" w:rsidRDefault="006022F8" w:rsidP="006022F8">
      <w:pPr>
        <w:pStyle w:val="Prrafodelista"/>
        <w:jc w:val="both"/>
        <w:rPr>
          <w:rFonts w:asciiTheme="majorHAnsi" w:eastAsia="AngsanaUPC" w:hAnsiTheme="majorHAnsi" w:cstheme="majorHAnsi"/>
          <w:b/>
          <w:color w:val="000000"/>
          <w:lang w:bidi="es-ES"/>
        </w:rPr>
      </w:pPr>
    </w:p>
    <w:p w14:paraId="7A73B578" w14:textId="1338D63F" w:rsidR="006022F8" w:rsidRPr="00D36D01" w:rsidRDefault="006022F8" w:rsidP="006022F8">
      <w:pPr>
        <w:pStyle w:val="Prrafodelista"/>
        <w:numPr>
          <w:ilvl w:val="0"/>
          <w:numId w:val="12"/>
        </w:numPr>
        <w:jc w:val="both"/>
        <w:rPr>
          <w:rFonts w:asciiTheme="majorHAnsi" w:eastAsia="AngsanaUPC" w:hAnsiTheme="majorHAnsi" w:cstheme="majorHAnsi"/>
          <w:b/>
          <w:color w:val="000000"/>
          <w:lang w:bidi="es-ES"/>
        </w:rPr>
      </w:pPr>
      <w:r w:rsidRPr="00D36D01">
        <w:rPr>
          <w:rFonts w:asciiTheme="majorHAnsi" w:eastAsia="AngsanaUPC" w:hAnsiTheme="majorHAnsi" w:cstheme="majorHAnsi"/>
          <w:color w:val="000000"/>
          <w:lang w:bidi="es-ES"/>
        </w:rPr>
        <w:lastRenderedPageBreak/>
        <w:t xml:space="preserve">C-228 de 2002 M.P. Manuel José Cepeda Espinosa y Eduardo Montealegre </w:t>
      </w:r>
      <w:proofErr w:type="spellStart"/>
      <w:r w:rsidRPr="00D36D01">
        <w:rPr>
          <w:rFonts w:asciiTheme="majorHAnsi" w:eastAsia="AngsanaUPC" w:hAnsiTheme="majorHAnsi" w:cstheme="majorHAnsi"/>
          <w:color w:val="000000"/>
          <w:lang w:bidi="es-ES"/>
        </w:rPr>
        <w:t>Lynett</w:t>
      </w:r>
      <w:proofErr w:type="spellEnd"/>
      <w:r w:rsidRPr="00D36D01">
        <w:rPr>
          <w:rFonts w:asciiTheme="majorHAnsi" w:eastAsia="AngsanaUPC" w:hAnsiTheme="majorHAnsi" w:cstheme="majorHAnsi"/>
          <w:color w:val="000000"/>
          <w:lang w:bidi="es-ES"/>
        </w:rPr>
        <w:t xml:space="preserve">. </w:t>
      </w:r>
      <w:r w:rsidRPr="00D36D01">
        <w:rPr>
          <w:rFonts w:asciiTheme="majorHAnsi" w:eastAsia="AngsanaUPC" w:hAnsiTheme="majorHAnsi" w:cstheme="majorHAnsi"/>
          <w:b/>
          <w:color w:val="000000"/>
          <w:lang w:bidi="es-ES"/>
        </w:rPr>
        <w:t>Derechos de las víctimas.</w:t>
      </w:r>
    </w:p>
    <w:p w14:paraId="738636AB" w14:textId="77777777" w:rsidR="006022F8" w:rsidRPr="00D36D01" w:rsidRDefault="006022F8" w:rsidP="006022F8">
      <w:pPr>
        <w:pStyle w:val="Prrafodelista"/>
        <w:jc w:val="both"/>
        <w:rPr>
          <w:rFonts w:asciiTheme="majorHAnsi" w:hAnsiTheme="majorHAnsi" w:cstheme="majorHAnsi"/>
          <w:b/>
        </w:rPr>
      </w:pPr>
    </w:p>
    <w:p w14:paraId="4405C470" w14:textId="067FE523" w:rsidR="006022F8" w:rsidRPr="00D36D01" w:rsidRDefault="006022F8" w:rsidP="006022F8">
      <w:pPr>
        <w:pStyle w:val="Prrafodelista"/>
        <w:numPr>
          <w:ilvl w:val="0"/>
          <w:numId w:val="12"/>
        </w:numPr>
        <w:jc w:val="both"/>
        <w:rPr>
          <w:rFonts w:asciiTheme="majorHAnsi" w:hAnsiTheme="majorHAnsi" w:cstheme="majorHAnsi"/>
          <w:b/>
        </w:rPr>
      </w:pPr>
      <w:r w:rsidRPr="00D36D01">
        <w:rPr>
          <w:rFonts w:asciiTheme="majorHAnsi" w:hAnsiTheme="majorHAnsi" w:cstheme="majorHAnsi"/>
        </w:rPr>
        <w:t xml:space="preserve">C-423/06. M.P. Humberto Antonio Sierra Porto. </w:t>
      </w:r>
      <w:r w:rsidRPr="00D36D01">
        <w:rPr>
          <w:rFonts w:asciiTheme="majorHAnsi" w:hAnsiTheme="majorHAnsi" w:cstheme="majorHAnsi"/>
          <w:b/>
        </w:rPr>
        <w:t>Reparación de perjuicios. Entrega provisional de bienes involucrados en delitos culposos.</w:t>
      </w:r>
    </w:p>
    <w:p w14:paraId="4833E712" w14:textId="77777777" w:rsidR="006022F8" w:rsidRPr="00D36D01" w:rsidRDefault="006022F8" w:rsidP="006022F8">
      <w:pPr>
        <w:pStyle w:val="Prrafodelista"/>
        <w:jc w:val="both"/>
        <w:rPr>
          <w:rFonts w:asciiTheme="majorHAnsi" w:hAnsiTheme="majorHAnsi" w:cstheme="majorHAnsi"/>
          <w:b/>
        </w:rPr>
      </w:pPr>
    </w:p>
    <w:p w14:paraId="2C4DE2AB" w14:textId="7EEC3ED8" w:rsidR="006022F8" w:rsidRPr="00D36D01" w:rsidRDefault="006022F8" w:rsidP="006022F8">
      <w:pPr>
        <w:pStyle w:val="Prrafodelista"/>
        <w:numPr>
          <w:ilvl w:val="0"/>
          <w:numId w:val="12"/>
        </w:numPr>
        <w:jc w:val="both"/>
        <w:rPr>
          <w:rFonts w:asciiTheme="majorHAnsi" w:hAnsiTheme="majorHAnsi" w:cstheme="majorHAnsi"/>
          <w:b/>
        </w:rPr>
      </w:pPr>
      <w:r w:rsidRPr="00D36D01">
        <w:rPr>
          <w:rFonts w:asciiTheme="majorHAnsi" w:hAnsiTheme="majorHAnsi" w:cstheme="majorHAnsi"/>
        </w:rPr>
        <w:t xml:space="preserve">C-425/06. M.P. Humberto Antonio Sierra Porto. </w:t>
      </w:r>
      <w:r w:rsidRPr="00D36D01">
        <w:rPr>
          <w:rFonts w:asciiTheme="majorHAnsi" w:hAnsiTheme="majorHAnsi" w:cstheme="majorHAnsi"/>
          <w:b/>
        </w:rPr>
        <w:t xml:space="preserve">Reparación de perjuicios. Trámite del incidente de reparación integral. Tercero civilmente responsable. </w:t>
      </w:r>
    </w:p>
    <w:p w14:paraId="2B6B8357" w14:textId="77777777" w:rsidR="006022F8" w:rsidRPr="00D36D01" w:rsidRDefault="006022F8" w:rsidP="006022F8">
      <w:pPr>
        <w:pStyle w:val="Prrafodelista"/>
        <w:jc w:val="both"/>
        <w:rPr>
          <w:rFonts w:asciiTheme="majorHAnsi" w:hAnsiTheme="majorHAnsi" w:cstheme="majorHAnsi"/>
          <w:b/>
          <w:u w:val="single"/>
          <w:lang w:bidi="es-ES"/>
        </w:rPr>
      </w:pPr>
    </w:p>
    <w:p w14:paraId="42FD75C4" w14:textId="569A6F21" w:rsidR="006022F8" w:rsidRPr="00D36D01" w:rsidRDefault="006022F8" w:rsidP="006022F8">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lang w:bidi="es-ES"/>
        </w:rPr>
        <w:t>C-454/06 Corte Constitucional Ponente Dr., Jaime Córdoba Triviño.</w:t>
      </w:r>
      <w:r w:rsidRPr="00D36D01">
        <w:rPr>
          <w:rFonts w:asciiTheme="majorHAnsi" w:hAnsiTheme="majorHAnsi" w:cstheme="majorHAnsi"/>
          <w:b/>
          <w:lang w:bidi="es-ES"/>
        </w:rPr>
        <w:t xml:space="preserve"> </w:t>
      </w:r>
      <w:r w:rsidRPr="00D36D01">
        <w:rPr>
          <w:rFonts w:asciiTheme="majorHAnsi" w:hAnsiTheme="majorHAnsi" w:cstheme="majorHAnsi"/>
          <w:b/>
          <w:u w:val="single"/>
          <w:lang w:bidi="es-ES"/>
        </w:rPr>
        <w:t xml:space="preserve">Derechos de las victimas </w:t>
      </w:r>
      <w:r w:rsidRPr="00D36D01">
        <w:rPr>
          <w:rFonts w:asciiTheme="majorHAnsi" w:hAnsiTheme="majorHAnsi" w:cstheme="majorHAnsi"/>
          <w:b/>
          <w:i/>
          <w:iCs/>
          <w:u w:val="single"/>
          <w:lang w:bidi="es-ES"/>
        </w:rPr>
        <w:t>l</w:t>
      </w:r>
      <w:r w:rsidRPr="00D36D01">
        <w:rPr>
          <w:rFonts w:asciiTheme="majorHAnsi" w:hAnsiTheme="majorHAnsi" w:cstheme="majorHAnsi"/>
          <w:b/>
          <w:u w:val="single"/>
          <w:lang w:bidi="es-ES"/>
        </w:rPr>
        <w:t xml:space="preserve"> El derecho de las víctimas a un recurso judicial efectivo/ La Posición de la víctima en el sistema procesal penal instaurado por la ley 906 de 2004.</w:t>
      </w:r>
    </w:p>
    <w:p w14:paraId="109BAA29" w14:textId="77777777" w:rsidR="006022F8" w:rsidRPr="00D36D01" w:rsidRDefault="006022F8" w:rsidP="006022F8">
      <w:pPr>
        <w:pStyle w:val="Prrafodelista"/>
        <w:jc w:val="both"/>
        <w:rPr>
          <w:rFonts w:asciiTheme="majorHAnsi" w:hAnsiTheme="majorHAnsi" w:cstheme="majorHAnsi"/>
          <w:b/>
        </w:rPr>
      </w:pPr>
    </w:p>
    <w:p w14:paraId="3EDBA516" w14:textId="77777777" w:rsidR="006022F8" w:rsidRPr="00D36D01" w:rsidRDefault="006022F8" w:rsidP="006022F8">
      <w:pPr>
        <w:pStyle w:val="Prrafodelista"/>
        <w:numPr>
          <w:ilvl w:val="0"/>
          <w:numId w:val="12"/>
        </w:numPr>
        <w:jc w:val="both"/>
        <w:rPr>
          <w:rFonts w:asciiTheme="majorHAnsi" w:hAnsiTheme="majorHAnsi" w:cstheme="majorHAnsi"/>
          <w:b/>
        </w:rPr>
      </w:pPr>
      <w:r w:rsidRPr="00D36D01">
        <w:rPr>
          <w:rFonts w:asciiTheme="majorHAnsi" w:hAnsiTheme="majorHAnsi" w:cstheme="majorHAnsi"/>
        </w:rPr>
        <w:t xml:space="preserve">C-717/06. M.P. Rodrigo Escobar Gil. Reparación de perjuicios. </w:t>
      </w:r>
      <w:r w:rsidRPr="00D36D01">
        <w:rPr>
          <w:rFonts w:asciiTheme="majorHAnsi" w:hAnsiTheme="majorHAnsi" w:cstheme="majorHAnsi"/>
          <w:b/>
        </w:rPr>
        <w:t>Vinculación del tercero civilmente responsable.</w:t>
      </w:r>
    </w:p>
    <w:p w14:paraId="08CD615D" w14:textId="77777777" w:rsidR="006022F8" w:rsidRPr="00D36D01" w:rsidRDefault="006022F8" w:rsidP="006022F8">
      <w:pPr>
        <w:pStyle w:val="Prrafodelista"/>
        <w:jc w:val="both"/>
        <w:rPr>
          <w:rFonts w:asciiTheme="majorHAnsi" w:eastAsia="AngsanaUPC" w:hAnsiTheme="majorHAnsi" w:cstheme="majorHAnsi"/>
          <w:b/>
          <w:color w:val="000000"/>
          <w:lang w:bidi="es-ES"/>
        </w:rPr>
      </w:pPr>
    </w:p>
    <w:p w14:paraId="0B590DB2" w14:textId="75415059" w:rsidR="006022F8" w:rsidRPr="00D36D01" w:rsidRDefault="006022F8" w:rsidP="006022F8">
      <w:pPr>
        <w:pStyle w:val="Prrafodelista"/>
        <w:numPr>
          <w:ilvl w:val="0"/>
          <w:numId w:val="12"/>
        </w:numPr>
        <w:jc w:val="both"/>
        <w:rPr>
          <w:rFonts w:asciiTheme="majorHAnsi" w:eastAsia="AngsanaUPC" w:hAnsiTheme="majorHAnsi" w:cstheme="majorHAnsi"/>
          <w:b/>
          <w:color w:val="000000"/>
          <w:lang w:bidi="es-ES"/>
        </w:rPr>
      </w:pPr>
      <w:r w:rsidRPr="00D36D01">
        <w:rPr>
          <w:rFonts w:asciiTheme="majorHAnsi" w:eastAsia="AngsanaUPC" w:hAnsiTheme="majorHAnsi" w:cstheme="majorHAnsi"/>
          <w:color w:val="000000"/>
          <w:lang w:bidi="es-ES"/>
        </w:rPr>
        <w:t xml:space="preserve">C-209 de 2007. M.P. Manuel José Cepeda Espinosa. </w:t>
      </w:r>
      <w:r w:rsidRPr="00D36D01">
        <w:rPr>
          <w:rFonts w:asciiTheme="majorHAnsi" w:eastAsia="AngsanaUPC" w:hAnsiTheme="majorHAnsi" w:cstheme="majorHAnsi"/>
          <w:b/>
          <w:color w:val="000000"/>
          <w:lang w:bidi="es-ES"/>
        </w:rPr>
        <w:t>Facultades de la víctima en el proceso penal acusatorio.</w:t>
      </w:r>
    </w:p>
    <w:p w14:paraId="726F0AD3" w14:textId="77777777" w:rsidR="006022F8" w:rsidRPr="00D36D01" w:rsidRDefault="006022F8" w:rsidP="006022F8">
      <w:pPr>
        <w:pStyle w:val="Prrafodelista"/>
        <w:jc w:val="both"/>
        <w:rPr>
          <w:rFonts w:asciiTheme="majorHAnsi" w:hAnsiTheme="majorHAnsi" w:cstheme="majorHAnsi"/>
          <w:b/>
        </w:rPr>
      </w:pPr>
    </w:p>
    <w:p w14:paraId="28FF4474" w14:textId="77777777" w:rsidR="006022F8" w:rsidRPr="00D36D01" w:rsidRDefault="006022F8" w:rsidP="006022F8">
      <w:pPr>
        <w:pStyle w:val="Prrafodelista"/>
        <w:numPr>
          <w:ilvl w:val="0"/>
          <w:numId w:val="12"/>
        </w:numPr>
        <w:jc w:val="both"/>
        <w:rPr>
          <w:rFonts w:asciiTheme="majorHAnsi" w:hAnsiTheme="majorHAnsi" w:cstheme="majorHAnsi"/>
          <w:u w:val="single"/>
        </w:rPr>
      </w:pPr>
      <w:r w:rsidRPr="00D36D01">
        <w:rPr>
          <w:rFonts w:asciiTheme="majorHAnsi" w:hAnsiTheme="majorHAnsi" w:cstheme="majorHAnsi"/>
        </w:rPr>
        <w:t xml:space="preserve">C-060/08. M.P. Nilson Pinilla </w:t>
      </w:r>
      <w:proofErr w:type="spellStart"/>
      <w:r w:rsidRPr="00D36D01">
        <w:rPr>
          <w:rFonts w:asciiTheme="majorHAnsi" w:hAnsiTheme="majorHAnsi" w:cstheme="majorHAnsi"/>
        </w:rPr>
        <w:t>Pinilla</w:t>
      </w:r>
      <w:proofErr w:type="spellEnd"/>
      <w:r w:rsidRPr="00D36D01">
        <w:rPr>
          <w:rFonts w:asciiTheme="majorHAnsi" w:hAnsiTheme="majorHAnsi" w:cstheme="majorHAnsi"/>
        </w:rPr>
        <w:t xml:space="preserve">. </w:t>
      </w:r>
      <w:r w:rsidRPr="00D36D01">
        <w:rPr>
          <w:rFonts w:asciiTheme="majorHAnsi" w:hAnsiTheme="majorHAnsi" w:cstheme="majorHAnsi"/>
          <w:b/>
        </w:rPr>
        <w:t xml:space="preserve">Derechos de las víctimas. Reparación de perjuicios. </w:t>
      </w:r>
      <w:r w:rsidRPr="00D36D01">
        <w:rPr>
          <w:rFonts w:asciiTheme="majorHAnsi" w:hAnsiTheme="majorHAnsi" w:cstheme="majorHAnsi"/>
          <w:b/>
          <w:u w:val="single"/>
        </w:rPr>
        <w:t>Suspensión y cancelación de registros obtenidos fraudulentamente</w:t>
      </w:r>
      <w:r w:rsidRPr="00D36D01">
        <w:rPr>
          <w:rFonts w:asciiTheme="majorHAnsi" w:hAnsiTheme="majorHAnsi" w:cstheme="majorHAnsi"/>
          <w:u w:val="single"/>
        </w:rPr>
        <w:t>.</w:t>
      </w:r>
    </w:p>
    <w:p w14:paraId="63F1DD19" w14:textId="77777777" w:rsidR="006022F8" w:rsidRPr="00D36D01" w:rsidRDefault="006022F8" w:rsidP="006022F8">
      <w:pPr>
        <w:pStyle w:val="Prrafodelista"/>
        <w:numPr>
          <w:ilvl w:val="0"/>
          <w:numId w:val="12"/>
        </w:numPr>
        <w:jc w:val="both"/>
        <w:rPr>
          <w:rFonts w:asciiTheme="majorHAnsi" w:hAnsiTheme="majorHAnsi" w:cstheme="majorHAnsi"/>
          <w:b/>
        </w:rPr>
      </w:pPr>
      <w:r w:rsidRPr="00D36D01">
        <w:rPr>
          <w:rFonts w:asciiTheme="majorHAnsi" w:hAnsiTheme="majorHAnsi" w:cstheme="majorHAnsi"/>
        </w:rPr>
        <w:t xml:space="preserve">C-250/2011. M.P. Mauricio González Cuervo. </w:t>
      </w:r>
      <w:r w:rsidRPr="00D36D01">
        <w:rPr>
          <w:rFonts w:asciiTheme="majorHAnsi" w:hAnsiTheme="majorHAnsi" w:cstheme="majorHAnsi"/>
          <w:b/>
        </w:rPr>
        <w:t xml:space="preserve">Reparación de perjuicios en el proceso penal. Tercero civilmente responsable. Intervención de la víctima en la audiencia prevista en el art. 447. Principio de inmediación probatoria.  </w:t>
      </w:r>
    </w:p>
    <w:p w14:paraId="54C5C7D4" w14:textId="77777777" w:rsidR="006022F8" w:rsidRPr="00D36D01" w:rsidRDefault="006022F8" w:rsidP="006022F8">
      <w:pPr>
        <w:pStyle w:val="Prrafodelista"/>
        <w:jc w:val="both"/>
        <w:rPr>
          <w:rFonts w:asciiTheme="majorHAnsi" w:hAnsiTheme="majorHAnsi" w:cstheme="majorHAnsi"/>
        </w:rPr>
      </w:pPr>
    </w:p>
    <w:p w14:paraId="50BBE272" w14:textId="65B4664F" w:rsidR="006022F8" w:rsidRPr="00D36D01" w:rsidRDefault="006022F8" w:rsidP="006022F8">
      <w:pPr>
        <w:pStyle w:val="Prrafodelista"/>
        <w:numPr>
          <w:ilvl w:val="0"/>
          <w:numId w:val="12"/>
        </w:numPr>
        <w:jc w:val="both"/>
        <w:rPr>
          <w:rFonts w:asciiTheme="majorHAnsi" w:hAnsiTheme="majorHAnsi" w:cstheme="majorHAnsi"/>
        </w:rPr>
      </w:pPr>
      <w:r w:rsidRPr="00D36D01">
        <w:rPr>
          <w:rFonts w:asciiTheme="majorHAnsi" w:hAnsiTheme="majorHAnsi" w:cstheme="majorHAnsi"/>
        </w:rPr>
        <w:t xml:space="preserve">C-344/17. M.P. Alejandro Linares Cantillo. </w:t>
      </w:r>
      <w:r w:rsidRPr="00D36D01">
        <w:rPr>
          <w:rFonts w:asciiTheme="majorHAnsi" w:hAnsiTheme="majorHAnsi" w:cstheme="majorHAnsi"/>
          <w:b/>
        </w:rPr>
        <w:t>Reparación de perjuicios en el proceso penal.</w:t>
      </w:r>
      <w:r w:rsidRPr="00D36D01">
        <w:rPr>
          <w:rFonts w:asciiTheme="majorHAnsi" w:hAnsiTheme="majorHAnsi" w:cstheme="majorHAnsi"/>
        </w:rPr>
        <w:t xml:space="preserve"> </w:t>
      </w:r>
      <w:r w:rsidRPr="00D36D01">
        <w:rPr>
          <w:rFonts w:asciiTheme="majorHAnsi" w:hAnsiTheme="majorHAnsi" w:cstheme="majorHAnsi"/>
          <w:b/>
          <w:u w:val="single"/>
        </w:rPr>
        <w:t>Principio de Reparación Integral. Tipología de daño indemnizable en el proceso penal.</w:t>
      </w:r>
    </w:p>
    <w:p w14:paraId="7599946B" w14:textId="77777777" w:rsidR="003A460C" w:rsidRPr="00D36D01" w:rsidRDefault="003A460C" w:rsidP="003A460C">
      <w:pPr>
        <w:pStyle w:val="Prrafodelista"/>
        <w:rPr>
          <w:rFonts w:asciiTheme="majorHAnsi" w:hAnsiTheme="majorHAnsi" w:cstheme="majorHAnsi"/>
        </w:rPr>
      </w:pPr>
    </w:p>
    <w:p w14:paraId="73E04009" w14:textId="77777777" w:rsidR="003A460C" w:rsidRPr="00D36D01" w:rsidRDefault="003A460C" w:rsidP="003A460C">
      <w:pPr>
        <w:pStyle w:val="Prrafodelista"/>
        <w:numPr>
          <w:ilvl w:val="0"/>
          <w:numId w:val="12"/>
        </w:numPr>
        <w:jc w:val="both"/>
        <w:rPr>
          <w:rFonts w:asciiTheme="majorHAnsi" w:hAnsiTheme="majorHAnsi" w:cstheme="majorHAnsi"/>
          <w:b/>
          <w:u w:val="single"/>
        </w:rPr>
      </w:pPr>
      <w:r w:rsidRPr="00D36D01">
        <w:rPr>
          <w:rFonts w:asciiTheme="majorHAnsi" w:hAnsiTheme="majorHAnsi" w:cstheme="majorHAnsi"/>
        </w:rPr>
        <w:t xml:space="preserve">C-454/06. M.P. Jaime Córdoba Triviño. Víctima. </w:t>
      </w:r>
      <w:r w:rsidRPr="00D36D01">
        <w:rPr>
          <w:rFonts w:asciiTheme="majorHAnsi" w:hAnsiTheme="majorHAnsi" w:cstheme="majorHAnsi"/>
          <w:b/>
        </w:rPr>
        <w:t>Facultades procesales de las víctimas.</w:t>
      </w:r>
      <w:r w:rsidRPr="00D36D01">
        <w:rPr>
          <w:rFonts w:asciiTheme="majorHAnsi" w:hAnsiTheme="majorHAnsi" w:cstheme="majorHAnsi"/>
        </w:rPr>
        <w:t xml:space="preserve"> </w:t>
      </w:r>
      <w:r w:rsidRPr="00D36D01">
        <w:rPr>
          <w:rFonts w:asciiTheme="majorHAnsi" w:hAnsiTheme="majorHAnsi" w:cstheme="majorHAnsi"/>
          <w:b/>
          <w:u w:val="single"/>
        </w:rPr>
        <w:t xml:space="preserve">Iniciativa probatoria de las víctimas. Limitación de la intervención de las víctimas en razón al carácter adversarial del procedimiento penal. </w:t>
      </w:r>
    </w:p>
    <w:p w14:paraId="2459C3B9" w14:textId="77777777" w:rsidR="00227566" w:rsidRPr="00D36D01" w:rsidRDefault="00227566" w:rsidP="00227566">
      <w:pPr>
        <w:pStyle w:val="Prrafodelista"/>
        <w:jc w:val="both"/>
        <w:rPr>
          <w:rFonts w:asciiTheme="majorHAnsi" w:hAnsiTheme="majorHAnsi" w:cstheme="majorHAnsi"/>
          <w:b/>
          <w:u w:val="single"/>
        </w:rPr>
      </w:pPr>
    </w:p>
    <w:p w14:paraId="43858DB1" w14:textId="25395AB6" w:rsidR="003A460C" w:rsidRPr="00D36D01" w:rsidRDefault="003A460C" w:rsidP="003A460C">
      <w:pPr>
        <w:pStyle w:val="Prrafodelista"/>
        <w:numPr>
          <w:ilvl w:val="0"/>
          <w:numId w:val="12"/>
        </w:numPr>
        <w:jc w:val="both"/>
        <w:rPr>
          <w:rFonts w:asciiTheme="majorHAnsi" w:hAnsiTheme="majorHAnsi" w:cstheme="majorHAnsi"/>
          <w:b/>
          <w:u w:val="single"/>
        </w:rPr>
      </w:pPr>
      <w:r w:rsidRPr="00D36D01">
        <w:rPr>
          <w:rFonts w:asciiTheme="majorHAnsi" w:hAnsiTheme="majorHAnsi" w:cstheme="majorHAnsi"/>
        </w:rPr>
        <w:t xml:space="preserve">C-209/07. M.P. Manuel José Cepeda Espinosa. </w:t>
      </w:r>
      <w:r w:rsidRPr="00D36D01">
        <w:rPr>
          <w:rFonts w:asciiTheme="majorHAnsi" w:hAnsiTheme="majorHAnsi" w:cstheme="majorHAnsi"/>
          <w:u w:val="single"/>
        </w:rPr>
        <w:t xml:space="preserve">Víctimas. </w:t>
      </w:r>
      <w:r w:rsidRPr="00D36D01">
        <w:rPr>
          <w:rFonts w:asciiTheme="majorHAnsi" w:hAnsiTheme="majorHAnsi" w:cstheme="majorHAnsi"/>
          <w:b/>
          <w:u w:val="single"/>
        </w:rPr>
        <w:t>Derechos de las víctimas. Participación limitada de las víctimas en etapa de juicio.</w:t>
      </w:r>
    </w:p>
    <w:p w14:paraId="52EB0B80" w14:textId="77777777" w:rsidR="006022F8" w:rsidRPr="00D36D01" w:rsidRDefault="006022F8" w:rsidP="006022F8">
      <w:pPr>
        <w:pStyle w:val="Prrafodelista"/>
        <w:jc w:val="both"/>
        <w:rPr>
          <w:rFonts w:asciiTheme="majorHAnsi" w:hAnsiTheme="majorHAnsi" w:cstheme="majorHAnsi"/>
          <w:b/>
        </w:rPr>
      </w:pPr>
    </w:p>
    <w:p w14:paraId="1E251068" w14:textId="4B960619" w:rsidR="006022F8" w:rsidRPr="00D36D01" w:rsidRDefault="006022F8" w:rsidP="006022F8">
      <w:pPr>
        <w:pStyle w:val="Prrafodelista"/>
        <w:numPr>
          <w:ilvl w:val="0"/>
          <w:numId w:val="12"/>
        </w:numPr>
        <w:jc w:val="both"/>
        <w:rPr>
          <w:rFonts w:asciiTheme="majorHAnsi" w:hAnsiTheme="majorHAnsi" w:cstheme="majorHAnsi"/>
        </w:rPr>
      </w:pPr>
      <w:r w:rsidRPr="00D36D01">
        <w:rPr>
          <w:rFonts w:asciiTheme="majorHAnsi" w:hAnsiTheme="majorHAnsi" w:cstheme="majorHAnsi"/>
        </w:rPr>
        <w:t xml:space="preserve">C-395/19. M.P. Cristina Pardo Schlesinger. Derechos de las víctimas. </w:t>
      </w:r>
      <w:r w:rsidRPr="00D36D01">
        <w:rPr>
          <w:rFonts w:asciiTheme="majorHAnsi" w:hAnsiTheme="majorHAnsi" w:cstheme="majorHAnsi"/>
          <w:b/>
          <w:u w:val="single"/>
        </w:rPr>
        <w:t>Suspensión y cancelación de registros obtenidos fraudulentamente</w:t>
      </w:r>
      <w:r w:rsidRPr="00D36D01">
        <w:rPr>
          <w:rFonts w:asciiTheme="majorHAnsi" w:hAnsiTheme="majorHAnsi" w:cstheme="majorHAnsi"/>
        </w:rPr>
        <w:t>. Resulta inconstitucional que el legislador limite la posibilidad de solicitar la suspensión hasta antes de la</w:t>
      </w:r>
      <w:r w:rsidR="006301E2" w:rsidRPr="00D36D01">
        <w:rPr>
          <w:rFonts w:asciiTheme="majorHAnsi" w:hAnsiTheme="majorHAnsi" w:cstheme="majorHAnsi"/>
        </w:rPr>
        <w:t xml:space="preserve"> </w:t>
      </w:r>
      <w:r w:rsidRPr="00D36D01">
        <w:rPr>
          <w:rFonts w:asciiTheme="majorHAnsi" w:hAnsiTheme="majorHAnsi" w:cstheme="majorHAnsi"/>
        </w:rPr>
        <w:t xml:space="preserve">presentación de la acusación. </w:t>
      </w:r>
    </w:p>
    <w:p w14:paraId="7AC9AB5F" w14:textId="77777777" w:rsidR="006301E2" w:rsidRPr="00D36D01" w:rsidRDefault="006301E2" w:rsidP="006301E2">
      <w:pPr>
        <w:pStyle w:val="Prrafodelista"/>
        <w:jc w:val="both"/>
        <w:rPr>
          <w:rFonts w:asciiTheme="majorHAnsi" w:hAnsiTheme="majorHAnsi" w:cstheme="majorHAnsi"/>
        </w:rPr>
      </w:pPr>
    </w:p>
    <w:p w14:paraId="7000F68B" w14:textId="4051099F" w:rsidR="00BB06C2" w:rsidRPr="00D36D01" w:rsidRDefault="003A460C" w:rsidP="006301E2">
      <w:pPr>
        <w:pStyle w:val="Prrafodelista"/>
        <w:numPr>
          <w:ilvl w:val="0"/>
          <w:numId w:val="12"/>
        </w:numPr>
        <w:jc w:val="both"/>
        <w:rPr>
          <w:rFonts w:asciiTheme="majorHAnsi" w:hAnsiTheme="majorHAnsi" w:cstheme="majorHAnsi"/>
          <w:lang w:bidi="es-ES"/>
        </w:rPr>
      </w:pPr>
      <w:r w:rsidRPr="00D36D01">
        <w:rPr>
          <w:rFonts w:asciiTheme="majorHAnsi" w:hAnsiTheme="majorHAnsi" w:cstheme="majorHAnsi"/>
        </w:rPr>
        <w:t xml:space="preserve">C-233/16. M.P. Luis Ernesto Vargas Silva. Derechos de las víctimas. </w:t>
      </w:r>
      <w:r w:rsidRPr="00D36D01">
        <w:rPr>
          <w:rFonts w:asciiTheme="majorHAnsi" w:hAnsiTheme="majorHAnsi" w:cstheme="majorHAnsi"/>
          <w:b/>
        </w:rPr>
        <w:t>Exclusión de la intervención de víctimas durante la fase de ejecución de la pena.</w:t>
      </w:r>
    </w:p>
    <w:p w14:paraId="0970F982" w14:textId="77777777" w:rsidR="00003462" w:rsidRPr="00D36D01" w:rsidRDefault="00003462" w:rsidP="00003462">
      <w:pPr>
        <w:pStyle w:val="Prrafodelista"/>
        <w:jc w:val="both"/>
        <w:rPr>
          <w:rFonts w:asciiTheme="majorHAnsi" w:hAnsiTheme="majorHAnsi" w:cstheme="majorHAnsi"/>
          <w:b/>
          <w:lang w:bidi="es-ES"/>
        </w:rPr>
      </w:pPr>
    </w:p>
    <w:p w14:paraId="2381C057" w14:textId="529FC392" w:rsidR="006301E2" w:rsidRPr="00D36D01" w:rsidRDefault="006301E2" w:rsidP="00003462">
      <w:pPr>
        <w:pStyle w:val="Prrafodelista"/>
        <w:numPr>
          <w:ilvl w:val="0"/>
          <w:numId w:val="12"/>
        </w:numPr>
        <w:jc w:val="both"/>
        <w:rPr>
          <w:rFonts w:asciiTheme="majorHAnsi" w:hAnsiTheme="majorHAnsi" w:cstheme="majorHAnsi"/>
          <w:b/>
          <w:lang w:bidi="es-ES"/>
        </w:rPr>
      </w:pPr>
      <w:r w:rsidRPr="00D36D01">
        <w:rPr>
          <w:rFonts w:asciiTheme="majorHAnsi" w:hAnsiTheme="majorHAnsi" w:cstheme="majorHAnsi"/>
          <w:lang w:bidi="es-ES"/>
        </w:rPr>
        <w:t xml:space="preserve">SU-317/95 </w:t>
      </w:r>
      <w:r w:rsidR="00003462" w:rsidRPr="00D36D01">
        <w:rPr>
          <w:rFonts w:asciiTheme="majorHAnsi" w:hAnsiTheme="majorHAnsi" w:cstheme="majorHAnsi"/>
          <w:lang w:bidi="es-ES"/>
        </w:rPr>
        <w:t xml:space="preserve">M.P. </w:t>
      </w:r>
      <w:r w:rsidRPr="00D36D01">
        <w:rPr>
          <w:rFonts w:asciiTheme="majorHAnsi" w:hAnsiTheme="majorHAnsi" w:cstheme="majorHAnsi"/>
          <w:lang w:bidi="es-ES"/>
        </w:rPr>
        <w:t>Carlos Gaviria Díaz.</w:t>
      </w:r>
      <w:r w:rsidR="00F7549B" w:rsidRPr="00D36D01">
        <w:rPr>
          <w:rFonts w:asciiTheme="majorHAnsi" w:hAnsiTheme="majorHAnsi" w:cstheme="majorHAnsi"/>
          <w:lang w:bidi="es-ES"/>
        </w:rPr>
        <w:t xml:space="preserve">. </w:t>
      </w:r>
      <w:r w:rsidRPr="00D36D01">
        <w:rPr>
          <w:rFonts w:asciiTheme="majorHAnsi" w:hAnsiTheme="majorHAnsi" w:cstheme="majorHAnsi"/>
          <w:b/>
          <w:lang w:bidi="es-ES"/>
        </w:rPr>
        <w:t xml:space="preserve">Tema: Principio de </w:t>
      </w:r>
      <w:r w:rsidRPr="00D36D01">
        <w:rPr>
          <w:rFonts w:asciiTheme="majorHAnsi" w:hAnsiTheme="majorHAnsi" w:cstheme="majorHAnsi"/>
          <w:b/>
          <w:i/>
          <w:iCs/>
          <w:lang w:bidi="es-ES"/>
        </w:rPr>
        <w:t xml:space="preserve">no </w:t>
      </w:r>
      <w:proofErr w:type="spellStart"/>
      <w:r w:rsidRPr="00D36D01">
        <w:rPr>
          <w:rFonts w:asciiTheme="majorHAnsi" w:hAnsiTheme="majorHAnsi" w:cstheme="majorHAnsi"/>
          <w:b/>
          <w:i/>
          <w:iCs/>
          <w:lang w:bidi="es-ES"/>
        </w:rPr>
        <w:t>reformatio</w:t>
      </w:r>
      <w:proofErr w:type="spellEnd"/>
      <w:r w:rsidRPr="00D36D01">
        <w:rPr>
          <w:rFonts w:asciiTheme="majorHAnsi" w:hAnsiTheme="majorHAnsi" w:cstheme="majorHAnsi"/>
          <w:b/>
          <w:i/>
          <w:iCs/>
          <w:lang w:bidi="es-ES"/>
        </w:rPr>
        <w:t xml:space="preserve"> in </w:t>
      </w:r>
      <w:proofErr w:type="spellStart"/>
      <w:r w:rsidRPr="00D36D01">
        <w:rPr>
          <w:rFonts w:asciiTheme="majorHAnsi" w:hAnsiTheme="majorHAnsi" w:cstheme="majorHAnsi"/>
          <w:b/>
          <w:i/>
          <w:iCs/>
          <w:lang w:bidi="es-ES"/>
        </w:rPr>
        <w:t>pejus</w:t>
      </w:r>
      <w:proofErr w:type="spellEnd"/>
      <w:r w:rsidRPr="00D36D01">
        <w:rPr>
          <w:rFonts w:asciiTheme="majorHAnsi" w:hAnsiTheme="majorHAnsi" w:cstheme="majorHAnsi"/>
          <w:b/>
          <w:lang w:bidi="es-ES"/>
        </w:rPr>
        <w:t xml:space="preserve"> (postura encontrada con la Corte Suprema de Justicia).</w:t>
      </w:r>
    </w:p>
    <w:p w14:paraId="43BC877F" w14:textId="77777777" w:rsidR="006301E2" w:rsidRPr="00D36D01" w:rsidRDefault="006301E2" w:rsidP="00003462">
      <w:pPr>
        <w:pStyle w:val="Prrafodelista"/>
        <w:jc w:val="both"/>
        <w:rPr>
          <w:rFonts w:asciiTheme="majorHAnsi" w:hAnsiTheme="majorHAnsi" w:cstheme="majorHAnsi"/>
          <w:b/>
          <w:lang w:bidi="es-ES"/>
        </w:rPr>
      </w:pPr>
    </w:p>
    <w:p w14:paraId="4911C22A" w14:textId="7C043762" w:rsidR="006301E2" w:rsidRPr="00D36D01" w:rsidRDefault="006301E2" w:rsidP="00003462">
      <w:pPr>
        <w:pStyle w:val="Prrafodelista"/>
        <w:numPr>
          <w:ilvl w:val="0"/>
          <w:numId w:val="12"/>
        </w:numPr>
        <w:jc w:val="both"/>
        <w:rPr>
          <w:rFonts w:asciiTheme="majorHAnsi" w:hAnsiTheme="majorHAnsi" w:cstheme="majorHAnsi"/>
          <w:b/>
          <w:i/>
          <w:iCs/>
          <w:lang w:bidi="es-ES"/>
        </w:rPr>
      </w:pPr>
      <w:r w:rsidRPr="00D36D01">
        <w:rPr>
          <w:rFonts w:asciiTheme="majorHAnsi" w:hAnsiTheme="majorHAnsi" w:cstheme="majorHAnsi"/>
          <w:lang w:bidi="es-ES"/>
        </w:rPr>
        <w:t xml:space="preserve">SU-598/95 </w:t>
      </w:r>
      <w:r w:rsidR="00F7549B" w:rsidRPr="00D36D01">
        <w:rPr>
          <w:rFonts w:asciiTheme="majorHAnsi" w:hAnsiTheme="majorHAnsi" w:cstheme="majorHAnsi"/>
          <w:lang w:bidi="es-ES"/>
        </w:rPr>
        <w:t>M.P.</w:t>
      </w:r>
      <w:r w:rsidRPr="00D36D01">
        <w:rPr>
          <w:rFonts w:asciiTheme="majorHAnsi" w:hAnsiTheme="majorHAnsi" w:cstheme="majorHAnsi"/>
          <w:lang w:bidi="es-ES"/>
        </w:rPr>
        <w:t xml:space="preserve"> </w:t>
      </w:r>
      <w:r w:rsidR="00F7549B" w:rsidRPr="00D36D01">
        <w:rPr>
          <w:rFonts w:asciiTheme="majorHAnsi" w:hAnsiTheme="majorHAnsi" w:cstheme="majorHAnsi"/>
          <w:lang w:bidi="es-ES"/>
        </w:rPr>
        <w:t xml:space="preserve">Hernando Herrera Vergara. </w:t>
      </w:r>
      <w:r w:rsidRPr="00D36D01">
        <w:rPr>
          <w:rFonts w:asciiTheme="majorHAnsi" w:hAnsiTheme="majorHAnsi" w:cstheme="majorHAnsi"/>
          <w:b/>
          <w:lang w:bidi="es-ES"/>
        </w:rPr>
        <w:t xml:space="preserve">Tema: Debido proceso / Principio de la no </w:t>
      </w:r>
      <w:proofErr w:type="spellStart"/>
      <w:r w:rsidRPr="00D36D01">
        <w:rPr>
          <w:rFonts w:asciiTheme="majorHAnsi" w:hAnsiTheme="majorHAnsi" w:cstheme="majorHAnsi"/>
          <w:b/>
          <w:i/>
          <w:iCs/>
          <w:lang w:bidi="es-ES"/>
        </w:rPr>
        <w:t>reformatio</w:t>
      </w:r>
      <w:proofErr w:type="spellEnd"/>
      <w:r w:rsidRPr="00D36D01">
        <w:rPr>
          <w:rFonts w:asciiTheme="majorHAnsi" w:hAnsiTheme="majorHAnsi" w:cstheme="majorHAnsi"/>
          <w:b/>
          <w:i/>
          <w:iCs/>
          <w:lang w:bidi="es-ES"/>
        </w:rPr>
        <w:t xml:space="preserve"> in </w:t>
      </w:r>
      <w:proofErr w:type="spellStart"/>
      <w:r w:rsidRPr="00D36D01">
        <w:rPr>
          <w:rFonts w:asciiTheme="majorHAnsi" w:hAnsiTheme="majorHAnsi" w:cstheme="majorHAnsi"/>
          <w:b/>
          <w:i/>
          <w:iCs/>
          <w:lang w:bidi="es-ES"/>
        </w:rPr>
        <w:t>peius</w:t>
      </w:r>
      <w:proofErr w:type="spellEnd"/>
      <w:r w:rsidRPr="00D36D01">
        <w:rPr>
          <w:rFonts w:asciiTheme="majorHAnsi" w:hAnsiTheme="majorHAnsi" w:cstheme="majorHAnsi"/>
          <w:b/>
          <w:i/>
          <w:iCs/>
          <w:lang w:bidi="es-ES"/>
        </w:rPr>
        <w:t>.</w:t>
      </w:r>
    </w:p>
    <w:p w14:paraId="4952A132" w14:textId="42BD8554" w:rsidR="006301E2" w:rsidRPr="00D36D01" w:rsidRDefault="006301E2" w:rsidP="00003462">
      <w:pPr>
        <w:pStyle w:val="Sinespaciado"/>
        <w:numPr>
          <w:ilvl w:val="0"/>
          <w:numId w:val="12"/>
        </w:numPr>
        <w:jc w:val="both"/>
        <w:rPr>
          <w:rFonts w:asciiTheme="majorHAnsi" w:hAnsiTheme="majorHAnsi" w:cstheme="majorHAnsi"/>
          <w:b/>
          <w:color w:val="000000"/>
          <w:sz w:val="22"/>
          <w:szCs w:val="22"/>
          <w:lang w:bidi="es-ES"/>
        </w:rPr>
      </w:pPr>
      <w:r w:rsidRPr="00D36D01">
        <w:rPr>
          <w:rFonts w:asciiTheme="majorHAnsi" w:hAnsiTheme="majorHAnsi" w:cstheme="majorHAnsi"/>
          <w:color w:val="000000"/>
          <w:sz w:val="22"/>
          <w:szCs w:val="22"/>
          <w:lang w:bidi="es-ES"/>
        </w:rPr>
        <w:t xml:space="preserve">C-252/01 </w:t>
      </w:r>
      <w:r w:rsidR="00F7549B" w:rsidRPr="00D36D01">
        <w:rPr>
          <w:rFonts w:asciiTheme="majorHAnsi" w:hAnsiTheme="majorHAnsi" w:cstheme="majorHAnsi"/>
          <w:color w:val="000000"/>
          <w:sz w:val="22"/>
          <w:szCs w:val="22"/>
          <w:lang w:bidi="es-ES"/>
        </w:rPr>
        <w:t>M.P.</w:t>
      </w:r>
      <w:r w:rsidRPr="00D36D01">
        <w:rPr>
          <w:rFonts w:asciiTheme="majorHAnsi" w:hAnsiTheme="majorHAnsi" w:cstheme="majorHAnsi"/>
          <w:color w:val="000000"/>
          <w:sz w:val="22"/>
          <w:szCs w:val="22"/>
          <w:lang w:bidi="es-ES"/>
        </w:rPr>
        <w:t xml:space="preserve"> </w:t>
      </w:r>
      <w:r w:rsidR="00F7549B" w:rsidRPr="00D36D01">
        <w:rPr>
          <w:rFonts w:asciiTheme="majorHAnsi" w:hAnsiTheme="majorHAnsi" w:cstheme="majorHAnsi"/>
          <w:color w:val="000000"/>
          <w:sz w:val="22"/>
          <w:szCs w:val="22"/>
          <w:lang w:bidi="es-ES"/>
        </w:rPr>
        <w:t>Carlos Gaviria Díaz</w:t>
      </w:r>
      <w:r w:rsidRPr="00D36D01">
        <w:rPr>
          <w:rFonts w:asciiTheme="majorHAnsi" w:hAnsiTheme="majorHAnsi" w:cstheme="majorHAnsi"/>
          <w:color w:val="000000"/>
          <w:sz w:val="22"/>
          <w:szCs w:val="22"/>
          <w:lang w:bidi="es-ES"/>
        </w:rPr>
        <w:t xml:space="preserve">. </w:t>
      </w:r>
      <w:r w:rsidRPr="00D36D01">
        <w:rPr>
          <w:rFonts w:asciiTheme="majorHAnsi" w:hAnsiTheme="majorHAnsi" w:cstheme="majorHAnsi"/>
          <w:b/>
          <w:color w:val="000000"/>
          <w:sz w:val="22"/>
          <w:szCs w:val="22"/>
          <w:lang w:bidi="es-ES"/>
        </w:rPr>
        <w:t>Tema: Recurso Extraordinario de Casación, Sentencia mediante la cual se declara la constitucionalidad de la expresión sentencias ejecutoriadas contenida en el Art. 205 de la ley 600 de 2000.</w:t>
      </w:r>
    </w:p>
    <w:p w14:paraId="01FED023" w14:textId="77777777" w:rsidR="006301E2" w:rsidRPr="00D36D01" w:rsidRDefault="006301E2" w:rsidP="00003462">
      <w:pPr>
        <w:pStyle w:val="Sinespaciado"/>
        <w:ind w:left="720"/>
        <w:jc w:val="both"/>
        <w:rPr>
          <w:rFonts w:asciiTheme="majorHAnsi" w:hAnsiTheme="majorHAnsi" w:cstheme="majorHAnsi"/>
          <w:b/>
          <w:color w:val="000000"/>
          <w:sz w:val="22"/>
          <w:szCs w:val="22"/>
          <w:lang w:bidi="es-ES"/>
        </w:rPr>
      </w:pPr>
    </w:p>
    <w:p w14:paraId="27838171" w14:textId="19063482" w:rsidR="006301E2" w:rsidRPr="00D36D01" w:rsidRDefault="006301E2" w:rsidP="00003462">
      <w:pPr>
        <w:pStyle w:val="Sinespaciado"/>
        <w:numPr>
          <w:ilvl w:val="0"/>
          <w:numId w:val="12"/>
        </w:numPr>
        <w:jc w:val="both"/>
        <w:rPr>
          <w:rFonts w:asciiTheme="majorHAnsi" w:hAnsiTheme="majorHAnsi" w:cstheme="majorHAnsi"/>
          <w:b/>
          <w:color w:val="000000"/>
          <w:sz w:val="22"/>
          <w:szCs w:val="22"/>
          <w:u w:val="single"/>
          <w:lang w:bidi="es-ES"/>
        </w:rPr>
      </w:pPr>
      <w:r w:rsidRPr="005C46ED">
        <w:rPr>
          <w:rFonts w:asciiTheme="majorHAnsi" w:hAnsiTheme="majorHAnsi" w:cstheme="majorHAnsi"/>
          <w:color w:val="000000"/>
          <w:sz w:val="22"/>
          <w:szCs w:val="22"/>
          <w:lang w:val="es-CO" w:bidi="es-ES"/>
        </w:rPr>
        <w:t>C-979/05</w:t>
      </w:r>
      <w:r w:rsidR="001316FF" w:rsidRPr="005C46ED">
        <w:rPr>
          <w:rFonts w:asciiTheme="majorHAnsi" w:hAnsiTheme="majorHAnsi" w:cstheme="majorHAnsi"/>
          <w:color w:val="000000"/>
          <w:sz w:val="22"/>
          <w:szCs w:val="22"/>
          <w:lang w:val="es-CO" w:bidi="es-ES"/>
        </w:rPr>
        <w:t>.</w:t>
      </w:r>
      <w:r w:rsidRPr="005C46ED">
        <w:rPr>
          <w:rFonts w:asciiTheme="majorHAnsi" w:hAnsiTheme="majorHAnsi" w:cstheme="majorHAnsi"/>
          <w:color w:val="000000"/>
          <w:sz w:val="22"/>
          <w:szCs w:val="22"/>
          <w:lang w:val="es-CO" w:bidi="es-ES"/>
        </w:rPr>
        <w:t xml:space="preserve"> </w:t>
      </w:r>
      <w:r w:rsidR="001316FF" w:rsidRPr="00D36D01">
        <w:rPr>
          <w:rFonts w:asciiTheme="majorHAnsi" w:hAnsiTheme="majorHAnsi" w:cstheme="majorHAnsi"/>
          <w:color w:val="000000"/>
          <w:sz w:val="22"/>
          <w:szCs w:val="22"/>
          <w:lang w:val="es-ES" w:bidi="es-ES"/>
        </w:rPr>
        <w:t>M.P.</w:t>
      </w:r>
      <w:r w:rsidRPr="00D36D01">
        <w:rPr>
          <w:rFonts w:asciiTheme="majorHAnsi" w:hAnsiTheme="majorHAnsi" w:cstheme="majorHAnsi"/>
          <w:color w:val="000000"/>
          <w:sz w:val="22"/>
          <w:szCs w:val="22"/>
          <w:lang w:val="es-ES" w:bidi="es-ES"/>
        </w:rPr>
        <w:t xml:space="preserve"> Jaime Córdoba Triviño. </w:t>
      </w:r>
      <w:r w:rsidRPr="00D36D01">
        <w:rPr>
          <w:rFonts w:asciiTheme="majorHAnsi" w:hAnsiTheme="majorHAnsi" w:cstheme="majorHAnsi"/>
          <w:b/>
          <w:color w:val="000000"/>
          <w:sz w:val="22"/>
          <w:szCs w:val="22"/>
          <w:u w:val="single"/>
          <w:lang w:bidi="es-ES"/>
        </w:rPr>
        <w:t>Tema- Acción de Revisión; alcance del principio de cosa juzgada / Justicia restaurativa.</w:t>
      </w:r>
    </w:p>
    <w:p w14:paraId="3C02E672" w14:textId="77777777" w:rsidR="006301E2" w:rsidRPr="00D36D01" w:rsidRDefault="006301E2" w:rsidP="006301E2">
      <w:pPr>
        <w:pStyle w:val="Prrafodelista"/>
        <w:jc w:val="both"/>
        <w:rPr>
          <w:rFonts w:asciiTheme="majorHAnsi" w:hAnsiTheme="majorHAnsi" w:cstheme="majorHAnsi"/>
        </w:rPr>
      </w:pPr>
    </w:p>
    <w:p w14:paraId="564F64FA" w14:textId="77777777" w:rsidR="006301E2" w:rsidRPr="00D36D01" w:rsidRDefault="006301E2" w:rsidP="00003462">
      <w:pPr>
        <w:pStyle w:val="Prrafodelista"/>
        <w:numPr>
          <w:ilvl w:val="0"/>
          <w:numId w:val="12"/>
        </w:numPr>
        <w:jc w:val="both"/>
        <w:rPr>
          <w:rFonts w:asciiTheme="majorHAnsi" w:hAnsiTheme="majorHAnsi" w:cstheme="majorHAnsi"/>
        </w:rPr>
      </w:pPr>
      <w:r w:rsidRPr="00D36D01">
        <w:rPr>
          <w:rFonts w:asciiTheme="majorHAnsi" w:hAnsiTheme="majorHAnsi" w:cstheme="majorHAnsi"/>
        </w:rPr>
        <w:t xml:space="preserve">C-792/14. M.P. Luis Guillermo Guerrero Pérez. Control de convencionalidad. </w:t>
      </w:r>
      <w:r w:rsidRPr="00D36D01">
        <w:rPr>
          <w:rFonts w:asciiTheme="majorHAnsi" w:hAnsiTheme="majorHAnsi" w:cstheme="majorHAnsi"/>
          <w:b/>
        </w:rPr>
        <w:t>Derecho convencional a la doble conformidad judicial o a impugnar el fallo condenatorio proferida por vez primera. Diferencias con la garantía de doble instancia.</w:t>
      </w:r>
      <w:r w:rsidRPr="00D36D01">
        <w:rPr>
          <w:rFonts w:asciiTheme="majorHAnsi" w:hAnsiTheme="majorHAnsi" w:cstheme="majorHAnsi"/>
        </w:rPr>
        <w:t xml:space="preserve"> Reconocimiento de esta garantía convencional a los aforados constitucionales juzgados en única instancia por la H. Sala de Casación Penal.   </w:t>
      </w:r>
    </w:p>
    <w:p w14:paraId="3EE1A230" w14:textId="77777777" w:rsidR="006301E2" w:rsidRPr="00D36D01" w:rsidRDefault="006301E2" w:rsidP="00003462">
      <w:pPr>
        <w:pStyle w:val="Prrafodelista"/>
        <w:jc w:val="both"/>
        <w:rPr>
          <w:rFonts w:asciiTheme="majorHAnsi" w:hAnsiTheme="majorHAnsi" w:cstheme="majorHAnsi"/>
        </w:rPr>
      </w:pPr>
    </w:p>
    <w:p w14:paraId="7117DD55" w14:textId="77777777" w:rsidR="006301E2" w:rsidRPr="00D36D01" w:rsidRDefault="006301E2" w:rsidP="00003462">
      <w:pPr>
        <w:pStyle w:val="Prrafodelista"/>
        <w:numPr>
          <w:ilvl w:val="0"/>
          <w:numId w:val="12"/>
        </w:numPr>
        <w:jc w:val="both"/>
        <w:rPr>
          <w:rFonts w:asciiTheme="majorHAnsi" w:hAnsiTheme="majorHAnsi" w:cstheme="majorHAnsi"/>
          <w:b/>
          <w:u w:val="single"/>
        </w:rPr>
      </w:pPr>
      <w:r w:rsidRPr="00D36D01">
        <w:rPr>
          <w:rFonts w:asciiTheme="majorHAnsi" w:hAnsiTheme="majorHAnsi" w:cstheme="majorHAnsi"/>
        </w:rPr>
        <w:t xml:space="preserve">SU-215/16. M.P. María Victoria Calle Correa. </w:t>
      </w:r>
      <w:r w:rsidRPr="00D36D01">
        <w:rPr>
          <w:rFonts w:asciiTheme="majorHAnsi" w:hAnsiTheme="majorHAnsi" w:cstheme="majorHAnsi"/>
          <w:b/>
        </w:rPr>
        <w:t xml:space="preserve">Derecho a la doble conformidad judicial o a impugnar el fallo condenatorio. </w:t>
      </w:r>
      <w:r w:rsidRPr="00D36D01">
        <w:rPr>
          <w:rFonts w:asciiTheme="majorHAnsi" w:hAnsiTheme="majorHAnsi" w:cstheme="majorHAnsi"/>
          <w:b/>
          <w:u w:val="single"/>
        </w:rPr>
        <w:t xml:space="preserve">Se predica de toda sentencia condenatoria proferida por primera vez, con independencia de la instancia en la que sea adoptada o la autoridad judicial que la profiera.  </w:t>
      </w:r>
    </w:p>
    <w:p w14:paraId="297C29D9" w14:textId="77777777" w:rsidR="00003462" w:rsidRPr="00D36D01" w:rsidRDefault="00003462" w:rsidP="00003462">
      <w:pPr>
        <w:pStyle w:val="Prrafodelista"/>
        <w:jc w:val="both"/>
        <w:rPr>
          <w:rFonts w:asciiTheme="majorHAnsi" w:hAnsiTheme="majorHAnsi" w:cstheme="majorHAnsi"/>
          <w:u w:val="single"/>
        </w:rPr>
      </w:pPr>
    </w:p>
    <w:p w14:paraId="016116DB" w14:textId="77777777" w:rsidR="00D4657E" w:rsidRPr="00D36D01" w:rsidRDefault="006301E2" w:rsidP="00633319">
      <w:pPr>
        <w:pStyle w:val="Prrafodelista"/>
        <w:numPr>
          <w:ilvl w:val="0"/>
          <w:numId w:val="12"/>
        </w:numPr>
        <w:jc w:val="both"/>
        <w:rPr>
          <w:rFonts w:asciiTheme="majorHAnsi" w:hAnsiTheme="majorHAnsi" w:cstheme="majorHAnsi"/>
          <w:u w:val="single"/>
        </w:rPr>
      </w:pPr>
      <w:r w:rsidRPr="00D36D01">
        <w:rPr>
          <w:rFonts w:asciiTheme="majorHAnsi" w:hAnsiTheme="majorHAnsi" w:cstheme="majorHAnsi"/>
        </w:rPr>
        <w:t xml:space="preserve">SU-373/2019. M.P. Cristina Pardo Schlesinger. </w:t>
      </w:r>
      <w:r w:rsidRPr="00D36D01">
        <w:rPr>
          <w:rFonts w:asciiTheme="majorHAnsi" w:hAnsiTheme="majorHAnsi" w:cstheme="majorHAnsi"/>
          <w:b/>
          <w:u w:val="single"/>
        </w:rPr>
        <w:t>Derecho a la doble conformidad judicial</w:t>
      </w:r>
      <w:r w:rsidRPr="00D36D01">
        <w:rPr>
          <w:rFonts w:asciiTheme="majorHAnsi" w:hAnsiTheme="majorHAnsi" w:cstheme="majorHAnsi"/>
          <w:u w:val="single"/>
        </w:rPr>
        <w:t xml:space="preserve"> o a impugnar la primera sentencia condenatoria. </w:t>
      </w:r>
      <w:r w:rsidRPr="00D36D01">
        <w:rPr>
          <w:rFonts w:asciiTheme="majorHAnsi" w:hAnsiTheme="majorHAnsi" w:cstheme="majorHAnsi"/>
          <w:b/>
          <w:u w:val="single"/>
        </w:rPr>
        <w:t>La garantía se aplica retroactivamente.</w:t>
      </w:r>
      <w:r w:rsidRPr="00D36D01">
        <w:rPr>
          <w:rFonts w:asciiTheme="majorHAnsi" w:hAnsiTheme="majorHAnsi" w:cstheme="majorHAnsi"/>
          <w:u w:val="single"/>
        </w:rPr>
        <w:t xml:space="preserve"> </w:t>
      </w:r>
    </w:p>
    <w:p w14:paraId="04B685BC" w14:textId="77777777" w:rsidR="00D4657E" w:rsidRPr="00D36D01" w:rsidRDefault="00D4657E" w:rsidP="00D4657E">
      <w:pPr>
        <w:pStyle w:val="Prrafodelista"/>
        <w:rPr>
          <w:rFonts w:asciiTheme="majorHAnsi" w:hAnsiTheme="majorHAnsi" w:cstheme="majorHAnsi"/>
        </w:rPr>
      </w:pPr>
    </w:p>
    <w:p w14:paraId="00F6231F" w14:textId="77777777" w:rsidR="00D4657E" w:rsidRPr="00D36D01" w:rsidRDefault="00633319" w:rsidP="00633319">
      <w:pPr>
        <w:pStyle w:val="Prrafodelista"/>
        <w:numPr>
          <w:ilvl w:val="0"/>
          <w:numId w:val="12"/>
        </w:numPr>
        <w:jc w:val="both"/>
        <w:rPr>
          <w:rFonts w:asciiTheme="majorHAnsi" w:hAnsiTheme="majorHAnsi" w:cstheme="majorHAnsi"/>
          <w:u w:val="single"/>
        </w:rPr>
      </w:pPr>
      <w:r w:rsidRPr="00D36D01">
        <w:rPr>
          <w:rFonts w:asciiTheme="majorHAnsi" w:hAnsiTheme="majorHAnsi" w:cstheme="majorHAnsi"/>
        </w:rPr>
        <w:t xml:space="preserve">C-799/05. M.P. Jaime Araujo Rentería. </w:t>
      </w:r>
      <w:r w:rsidRPr="00D36D01">
        <w:rPr>
          <w:rFonts w:asciiTheme="majorHAnsi" w:hAnsiTheme="majorHAnsi" w:cstheme="majorHAnsi"/>
          <w:b/>
          <w:u w:val="single"/>
        </w:rPr>
        <w:t xml:space="preserve">Derecho de defensa. Ejercicio del derecho de defensa antes de tener la condición de imputado. </w:t>
      </w:r>
    </w:p>
    <w:p w14:paraId="7DAE1A60" w14:textId="77777777" w:rsidR="00D4657E" w:rsidRPr="00D36D01" w:rsidRDefault="00D4657E" w:rsidP="00D4657E">
      <w:pPr>
        <w:pStyle w:val="Prrafodelista"/>
        <w:rPr>
          <w:rFonts w:asciiTheme="majorHAnsi" w:hAnsiTheme="majorHAnsi" w:cstheme="majorHAnsi"/>
        </w:rPr>
      </w:pPr>
    </w:p>
    <w:p w14:paraId="02809A79" w14:textId="1F462354" w:rsidR="00633319" w:rsidRPr="00D36D01" w:rsidRDefault="00633319" w:rsidP="00633319">
      <w:pPr>
        <w:pStyle w:val="Prrafodelista"/>
        <w:numPr>
          <w:ilvl w:val="0"/>
          <w:numId w:val="12"/>
        </w:numPr>
        <w:jc w:val="both"/>
        <w:rPr>
          <w:rFonts w:asciiTheme="majorHAnsi" w:hAnsiTheme="majorHAnsi" w:cstheme="majorHAnsi"/>
          <w:u w:val="single"/>
        </w:rPr>
      </w:pPr>
      <w:r w:rsidRPr="00D36D01">
        <w:rPr>
          <w:rFonts w:asciiTheme="majorHAnsi" w:hAnsiTheme="majorHAnsi" w:cstheme="majorHAnsi"/>
        </w:rPr>
        <w:t xml:space="preserve">C-186/08. M.P. Nilson Pinilla </w:t>
      </w:r>
      <w:proofErr w:type="spellStart"/>
      <w:r w:rsidRPr="00D36D01">
        <w:rPr>
          <w:rFonts w:asciiTheme="majorHAnsi" w:hAnsiTheme="majorHAnsi" w:cstheme="majorHAnsi"/>
        </w:rPr>
        <w:t>Pinilla</w:t>
      </w:r>
      <w:proofErr w:type="spellEnd"/>
      <w:r w:rsidRPr="00D36D01">
        <w:rPr>
          <w:rFonts w:asciiTheme="majorHAnsi" w:hAnsiTheme="majorHAnsi" w:cstheme="majorHAnsi"/>
        </w:rPr>
        <w:t xml:space="preserve">. </w:t>
      </w:r>
      <w:r w:rsidRPr="00D36D01">
        <w:rPr>
          <w:rFonts w:asciiTheme="majorHAnsi" w:hAnsiTheme="majorHAnsi" w:cstheme="majorHAnsi"/>
          <w:b/>
        </w:rPr>
        <w:t xml:space="preserve">Derecho de defensa. Facultades de la defensa </w:t>
      </w:r>
      <w:r w:rsidRPr="00D36D01">
        <w:rPr>
          <w:rFonts w:asciiTheme="majorHAnsi" w:hAnsiTheme="majorHAnsi" w:cstheme="majorHAnsi"/>
          <w:b/>
          <w:u w:val="single"/>
        </w:rPr>
        <w:t>durante las etapas de indagación e investigación.</w:t>
      </w:r>
      <w:r w:rsidRPr="00D36D01">
        <w:rPr>
          <w:rFonts w:asciiTheme="majorHAnsi" w:hAnsiTheme="majorHAnsi" w:cstheme="majorHAnsi"/>
          <w:u w:val="single"/>
        </w:rPr>
        <w:t xml:space="preserve"> </w:t>
      </w:r>
    </w:p>
    <w:p w14:paraId="26D34570" w14:textId="77777777" w:rsidR="00D4657E" w:rsidRPr="00D36D01" w:rsidRDefault="00D4657E" w:rsidP="00D4657E">
      <w:pPr>
        <w:pStyle w:val="Prrafodelista"/>
        <w:jc w:val="both"/>
        <w:rPr>
          <w:rFonts w:asciiTheme="majorHAnsi" w:hAnsiTheme="majorHAnsi" w:cstheme="majorHAnsi"/>
          <w:u w:val="single"/>
        </w:rPr>
      </w:pPr>
    </w:p>
    <w:p w14:paraId="5504DB93" w14:textId="7010E914" w:rsidR="00D4657E"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lang w:bidi="es-ES"/>
        </w:rPr>
        <w:lastRenderedPageBreak/>
        <w:t xml:space="preserve">C-395/94 Corte Constitucional Magistrado Ponente; Dr. Carlos Gavina Díaz Ocho (8) de septiembre de mil novecientos noventa y cuatro (1994). </w:t>
      </w:r>
      <w:r w:rsidRPr="00D36D01">
        <w:rPr>
          <w:rFonts w:asciiTheme="majorHAnsi" w:hAnsiTheme="majorHAnsi" w:cstheme="majorHAnsi"/>
          <w:b/>
          <w:u w:val="single"/>
          <w:lang w:bidi="es-ES"/>
        </w:rPr>
        <w:t>Tema: Control de legalidad de la medida de aseguramiento por el juez de conocimiento.</w:t>
      </w:r>
    </w:p>
    <w:p w14:paraId="36687064" w14:textId="77777777" w:rsidR="00D4657E" w:rsidRPr="00D36D01" w:rsidRDefault="00D4657E" w:rsidP="00D4657E">
      <w:pPr>
        <w:pStyle w:val="Prrafodelista"/>
        <w:rPr>
          <w:rFonts w:asciiTheme="majorHAnsi" w:hAnsiTheme="majorHAnsi" w:cstheme="majorHAnsi"/>
          <w:lang w:bidi="es-ES"/>
        </w:rPr>
      </w:pPr>
    </w:p>
    <w:p w14:paraId="78BCAB9B" w14:textId="77777777" w:rsidR="00376429"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lang w:bidi="es-ES"/>
        </w:rPr>
        <w:t xml:space="preserve">C- 1001/05 Corte Constitucional Magistrado Ponente: Dr. Álvaro Tafur Galvis. Tres ( 3) de octubre de dos mil cinco (2005). </w:t>
      </w:r>
      <w:r w:rsidRPr="00D36D01">
        <w:rPr>
          <w:rFonts w:asciiTheme="majorHAnsi" w:hAnsiTheme="majorHAnsi" w:cstheme="majorHAnsi"/>
          <w:b/>
          <w:u w:val="single"/>
          <w:lang w:bidi="es-ES"/>
        </w:rPr>
        <w:t>Temas: El bloque de constitucionalidad y su proyección en el presente proceso / El articulo 28 superior y la protección constitucional de la libertad personal / la naturaleza de la función que cumple la Fiscalía General de la Nación en el nuevo sistema penal y el alcance del mandato contenido en el artículo 250-1 superior en cuanto a la competencia excepcional de la misma para ordenar capturas, y / el contenido y alcance del artículo 300 de la ley 906 de 2004</w:t>
      </w:r>
    </w:p>
    <w:p w14:paraId="7910535D" w14:textId="77777777" w:rsidR="00376429" w:rsidRPr="00D36D01" w:rsidRDefault="00376429" w:rsidP="00376429">
      <w:pPr>
        <w:pStyle w:val="Prrafodelista"/>
        <w:rPr>
          <w:rFonts w:asciiTheme="majorHAnsi" w:hAnsiTheme="majorHAnsi" w:cstheme="majorHAnsi"/>
        </w:rPr>
      </w:pPr>
    </w:p>
    <w:p w14:paraId="4C73E1E3" w14:textId="77777777" w:rsidR="00376429"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rPr>
        <w:t xml:space="preserve">C-519/07. M.P. Nilson Pinilla </w:t>
      </w:r>
      <w:proofErr w:type="spellStart"/>
      <w:r w:rsidRPr="00D36D01">
        <w:rPr>
          <w:rFonts w:asciiTheme="majorHAnsi" w:hAnsiTheme="majorHAnsi" w:cstheme="majorHAnsi"/>
        </w:rPr>
        <w:t>Pinilla</w:t>
      </w:r>
      <w:proofErr w:type="spellEnd"/>
      <w:r w:rsidRPr="00D36D01">
        <w:rPr>
          <w:rFonts w:asciiTheme="majorHAnsi" w:hAnsiTheme="majorHAnsi" w:cstheme="majorHAnsi"/>
        </w:rPr>
        <w:t xml:space="preserve">. Régimen de injerencias. </w:t>
      </w:r>
      <w:r w:rsidRPr="00D36D01">
        <w:rPr>
          <w:rFonts w:asciiTheme="majorHAnsi" w:hAnsiTheme="majorHAnsi" w:cstheme="majorHAnsi"/>
          <w:b/>
          <w:u w:val="single"/>
        </w:rPr>
        <w:t>Allanamiento y registro para materializar una captura. Exigencia de orden judicial previa.</w:t>
      </w:r>
    </w:p>
    <w:p w14:paraId="14AD989C" w14:textId="77777777" w:rsidR="00376429" w:rsidRPr="00D36D01" w:rsidRDefault="00376429" w:rsidP="00376429">
      <w:pPr>
        <w:pStyle w:val="Prrafodelista"/>
        <w:rPr>
          <w:rFonts w:asciiTheme="majorHAnsi" w:hAnsiTheme="majorHAnsi" w:cstheme="majorHAnsi"/>
          <w:lang w:bidi="es-ES"/>
        </w:rPr>
      </w:pPr>
    </w:p>
    <w:p w14:paraId="6DBC13AD" w14:textId="3283878B" w:rsidR="00E738AD"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lang w:bidi="es-ES"/>
        </w:rPr>
        <w:t xml:space="preserve">C-024/94 </w:t>
      </w:r>
      <w:r w:rsidR="00E03D1C" w:rsidRPr="00D36D01">
        <w:rPr>
          <w:rFonts w:asciiTheme="majorHAnsi" w:hAnsiTheme="majorHAnsi" w:cstheme="majorHAnsi"/>
          <w:lang w:bidi="es-ES"/>
        </w:rPr>
        <w:t>M.P.</w:t>
      </w:r>
      <w:r w:rsidRPr="00D36D01">
        <w:rPr>
          <w:rFonts w:asciiTheme="majorHAnsi" w:hAnsiTheme="majorHAnsi" w:cstheme="majorHAnsi"/>
          <w:lang w:bidi="es-ES"/>
        </w:rPr>
        <w:t xml:space="preserve"> </w:t>
      </w:r>
      <w:r w:rsidR="00E03D1C" w:rsidRPr="00D36D01">
        <w:rPr>
          <w:rFonts w:asciiTheme="majorHAnsi" w:hAnsiTheme="majorHAnsi" w:cstheme="majorHAnsi"/>
          <w:lang w:bidi="es-ES"/>
        </w:rPr>
        <w:t>Alejandro Martinez Caballero</w:t>
      </w:r>
      <w:r w:rsidRPr="00D36D01">
        <w:rPr>
          <w:rFonts w:asciiTheme="majorHAnsi" w:hAnsiTheme="majorHAnsi" w:cstheme="majorHAnsi"/>
          <w:lang w:bidi="es-ES"/>
        </w:rPr>
        <w:t>.</w:t>
      </w:r>
      <w:r w:rsidRPr="00D36D01">
        <w:rPr>
          <w:rFonts w:asciiTheme="majorHAnsi" w:hAnsiTheme="majorHAnsi" w:cstheme="majorHAnsi"/>
          <w:b/>
          <w:u w:val="single"/>
          <w:lang w:bidi="es-ES"/>
        </w:rPr>
        <w:t xml:space="preserve"> Tema: Detención administrativa. Limites / flagrancia / Reserva judicial para el compromiso de ciertos derechos fundamentales.</w:t>
      </w:r>
    </w:p>
    <w:p w14:paraId="634BD459" w14:textId="77777777" w:rsidR="00E738AD" w:rsidRPr="00D36D01" w:rsidRDefault="00E738AD" w:rsidP="00E738AD">
      <w:pPr>
        <w:pStyle w:val="Prrafodelista"/>
        <w:rPr>
          <w:rFonts w:asciiTheme="majorHAnsi" w:hAnsiTheme="majorHAnsi" w:cstheme="majorHAnsi"/>
        </w:rPr>
      </w:pPr>
    </w:p>
    <w:p w14:paraId="641E271F" w14:textId="77777777" w:rsidR="00E738AD"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rPr>
        <w:t xml:space="preserve">C-163/08. M.P. Jaime Córdoba Triviño. </w:t>
      </w:r>
      <w:r w:rsidRPr="00D36D01">
        <w:rPr>
          <w:rFonts w:asciiTheme="majorHAnsi" w:hAnsiTheme="majorHAnsi" w:cstheme="majorHAnsi"/>
          <w:b/>
          <w:u w:val="single"/>
        </w:rPr>
        <w:t>Régimen de libertad. Captura. Término para la legalización de la captura en cualquier de sus modalidades</w:t>
      </w:r>
    </w:p>
    <w:p w14:paraId="73CFB8DC" w14:textId="77777777" w:rsidR="00E738AD" w:rsidRPr="00D36D01" w:rsidRDefault="00E738AD" w:rsidP="00E738AD">
      <w:pPr>
        <w:pStyle w:val="Prrafodelista"/>
        <w:rPr>
          <w:rFonts w:asciiTheme="majorHAnsi" w:hAnsiTheme="majorHAnsi" w:cstheme="majorHAnsi"/>
        </w:rPr>
      </w:pPr>
    </w:p>
    <w:p w14:paraId="5A6B9137" w14:textId="77777777" w:rsidR="00E738AD"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rPr>
        <w:t xml:space="preserve">C-185/08. M.P. Manuel José Cepeda Espinosa. </w:t>
      </w:r>
      <w:r w:rsidRPr="00D36D01">
        <w:rPr>
          <w:rFonts w:asciiTheme="majorHAnsi" w:hAnsiTheme="majorHAnsi" w:cstheme="majorHAnsi"/>
          <w:b/>
          <w:u w:val="single"/>
        </w:rPr>
        <w:t>Régimen de la libertad. Captura excepcional por orden de la Fiscalía.</w:t>
      </w:r>
    </w:p>
    <w:p w14:paraId="6BAEC7E4" w14:textId="77777777" w:rsidR="00E738AD" w:rsidRPr="00D36D01" w:rsidRDefault="00E738AD" w:rsidP="00E738AD">
      <w:pPr>
        <w:pStyle w:val="Prrafodelista"/>
        <w:rPr>
          <w:rFonts w:asciiTheme="majorHAnsi" w:hAnsiTheme="majorHAnsi" w:cstheme="majorHAnsi"/>
        </w:rPr>
      </w:pPr>
    </w:p>
    <w:p w14:paraId="784FEA0E" w14:textId="77777777" w:rsidR="00E738AD"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rPr>
        <w:t xml:space="preserve">C-318/08. M.P. Jaime Córdoba Triviño. </w:t>
      </w:r>
      <w:r w:rsidRPr="00D36D01">
        <w:rPr>
          <w:rFonts w:asciiTheme="majorHAnsi" w:hAnsiTheme="majorHAnsi" w:cstheme="majorHAnsi"/>
          <w:b/>
        </w:rPr>
        <w:t xml:space="preserve">Régimen de la libertad. </w:t>
      </w:r>
      <w:r w:rsidRPr="00D36D01">
        <w:rPr>
          <w:rFonts w:asciiTheme="majorHAnsi" w:hAnsiTheme="majorHAnsi" w:cstheme="majorHAnsi"/>
          <w:b/>
          <w:u w:val="single"/>
        </w:rPr>
        <w:t>Medidas de aseguramiento. Principios de proporcionalidad y progresividad.</w:t>
      </w:r>
    </w:p>
    <w:p w14:paraId="2CD3137F" w14:textId="77777777" w:rsidR="00E738AD" w:rsidRPr="00D36D01" w:rsidRDefault="00E738AD" w:rsidP="00E738AD">
      <w:pPr>
        <w:pStyle w:val="Prrafodelista"/>
        <w:rPr>
          <w:rFonts w:asciiTheme="majorHAnsi" w:hAnsiTheme="majorHAnsi" w:cstheme="majorHAnsi"/>
        </w:rPr>
      </w:pPr>
    </w:p>
    <w:p w14:paraId="0CD0B478" w14:textId="77777777" w:rsidR="00E738AD"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rPr>
        <w:t xml:space="preserve">C-239/12. M.P. Juan Carlos Henao Pérez. </w:t>
      </w:r>
      <w:r w:rsidRPr="00D36D01">
        <w:rPr>
          <w:rFonts w:asciiTheme="majorHAnsi" w:hAnsiTheme="majorHAnsi" w:cstheme="majorHAnsi"/>
          <w:b/>
        </w:rPr>
        <w:t>Régimen de la libertad.</w:t>
      </w:r>
      <w:r w:rsidRPr="00D36D01">
        <w:rPr>
          <w:rFonts w:asciiTheme="majorHAnsi" w:hAnsiTheme="majorHAnsi" w:cstheme="majorHAnsi"/>
        </w:rPr>
        <w:t xml:space="preserve"> </w:t>
      </w:r>
      <w:r w:rsidRPr="00D36D01">
        <w:rPr>
          <w:rFonts w:asciiTheme="majorHAnsi" w:hAnsiTheme="majorHAnsi" w:cstheme="majorHAnsi"/>
          <w:b/>
          <w:u w:val="single"/>
        </w:rPr>
        <w:t xml:space="preserve">Término en el que debe surtirse la legalización de la captura por parte del juez de control de garantías. </w:t>
      </w:r>
    </w:p>
    <w:p w14:paraId="3DA81205" w14:textId="77777777" w:rsidR="00E738AD" w:rsidRPr="00D36D01" w:rsidRDefault="00E738AD" w:rsidP="00E738AD">
      <w:pPr>
        <w:pStyle w:val="Prrafodelista"/>
        <w:rPr>
          <w:rFonts w:asciiTheme="majorHAnsi" w:hAnsiTheme="majorHAnsi" w:cstheme="majorHAnsi"/>
          <w:bCs/>
          <w:lang w:bidi="es-CO"/>
        </w:rPr>
      </w:pPr>
    </w:p>
    <w:p w14:paraId="1E0E726F" w14:textId="556F2C44" w:rsidR="00E738AD"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bCs/>
          <w:lang w:bidi="es-CO"/>
        </w:rPr>
        <w:t xml:space="preserve">C-645/12. Corte Constitucional. M.P. </w:t>
      </w:r>
      <w:r w:rsidR="00E03D1C" w:rsidRPr="00D36D01">
        <w:rPr>
          <w:rFonts w:asciiTheme="majorHAnsi" w:hAnsiTheme="majorHAnsi" w:cstheme="majorHAnsi"/>
          <w:lang w:bidi="es-CO"/>
        </w:rPr>
        <w:t xml:space="preserve">Nilson Pinilla </w:t>
      </w:r>
      <w:proofErr w:type="spellStart"/>
      <w:r w:rsidR="00E03D1C" w:rsidRPr="00D36D01">
        <w:rPr>
          <w:rFonts w:asciiTheme="majorHAnsi" w:hAnsiTheme="majorHAnsi" w:cstheme="majorHAnsi"/>
          <w:lang w:bidi="es-CO"/>
        </w:rPr>
        <w:t>Pinilla</w:t>
      </w:r>
      <w:proofErr w:type="spellEnd"/>
      <w:r w:rsidRPr="00D36D01">
        <w:rPr>
          <w:rFonts w:asciiTheme="majorHAnsi" w:hAnsiTheme="majorHAnsi" w:cstheme="majorHAnsi"/>
          <w:lang w:bidi="es-CO"/>
        </w:rPr>
        <w:t>. Veintitrés (23) de agosto de dos mil doce (2012).</w:t>
      </w:r>
      <w:r w:rsidRPr="00D36D01">
        <w:rPr>
          <w:rFonts w:asciiTheme="majorHAnsi" w:hAnsiTheme="majorHAnsi" w:cstheme="majorHAnsi"/>
          <w:b/>
          <w:u w:val="single"/>
          <w:lang w:bidi="es-CO"/>
        </w:rPr>
        <w:t xml:space="preserve"> Tema: Sobre las rebajas por aceptación de cargos </w:t>
      </w:r>
      <w:r w:rsidR="00E03D1C" w:rsidRPr="00D36D01">
        <w:rPr>
          <w:rFonts w:asciiTheme="majorHAnsi" w:hAnsiTheme="majorHAnsi" w:cstheme="majorHAnsi"/>
          <w:b/>
          <w:u w:val="single"/>
          <w:lang w:bidi="es-CO"/>
        </w:rPr>
        <w:t>en tratándose</w:t>
      </w:r>
      <w:r w:rsidRPr="00D36D01">
        <w:rPr>
          <w:rFonts w:asciiTheme="majorHAnsi" w:hAnsiTheme="majorHAnsi" w:cstheme="majorHAnsi"/>
          <w:b/>
          <w:u w:val="single"/>
          <w:lang w:bidi="es-CO"/>
        </w:rPr>
        <w:t xml:space="preserve"> de procesados capturados en flagrancia.</w:t>
      </w:r>
    </w:p>
    <w:p w14:paraId="2B48DBAD" w14:textId="77777777" w:rsidR="00E738AD" w:rsidRPr="00D36D01" w:rsidRDefault="00E738AD" w:rsidP="00E738AD">
      <w:pPr>
        <w:pStyle w:val="Prrafodelista"/>
        <w:rPr>
          <w:rFonts w:asciiTheme="majorHAnsi" w:hAnsiTheme="majorHAnsi" w:cstheme="majorHAnsi"/>
          <w:lang w:bidi="es-CO"/>
        </w:rPr>
      </w:pPr>
    </w:p>
    <w:p w14:paraId="0646F495" w14:textId="674ACB4D" w:rsidR="00E738AD"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lang w:bidi="es-CO"/>
        </w:rPr>
        <w:t xml:space="preserve">C-303 de 2019. M.P. </w:t>
      </w:r>
      <w:r w:rsidR="00E03D1C" w:rsidRPr="00D36D01">
        <w:rPr>
          <w:rFonts w:asciiTheme="majorHAnsi" w:hAnsiTheme="majorHAnsi" w:cstheme="majorHAnsi"/>
          <w:lang w:bidi="es-CO"/>
        </w:rPr>
        <w:t>Alejandro Linares Cantillo</w:t>
      </w:r>
      <w:r w:rsidRPr="00D36D01">
        <w:rPr>
          <w:rFonts w:asciiTheme="majorHAnsi" w:hAnsiTheme="majorHAnsi" w:cstheme="majorHAnsi"/>
          <w:lang w:bidi="es-CO"/>
        </w:rPr>
        <w:t>.</w:t>
      </w:r>
      <w:r w:rsidRPr="00D36D01">
        <w:rPr>
          <w:rFonts w:asciiTheme="majorHAnsi" w:hAnsiTheme="majorHAnsi" w:cstheme="majorHAnsi"/>
          <w:b/>
          <w:u w:val="single"/>
          <w:lang w:bidi="es-CO"/>
        </w:rPr>
        <w:t xml:space="preserve"> Tema: Declaratoria de exequibilidad de apartes del artículo 168 del nuevo Código de Policía bajo el entendido de que corresponden a situaciones de flagrancia reguladas por el artículo 301 del Código de Procedimiento Penal.</w:t>
      </w:r>
    </w:p>
    <w:p w14:paraId="6B21BD6F" w14:textId="77777777" w:rsidR="00E738AD" w:rsidRPr="00D36D01" w:rsidRDefault="00E738AD" w:rsidP="00E738AD">
      <w:pPr>
        <w:pStyle w:val="Prrafodelista"/>
        <w:rPr>
          <w:rFonts w:asciiTheme="majorHAnsi" w:hAnsiTheme="majorHAnsi" w:cstheme="majorHAnsi"/>
        </w:rPr>
      </w:pPr>
    </w:p>
    <w:p w14:paraId="3AD96890" w14:textId="77777777" w:rsidR="00E738AD"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rPr>
        <w:lastRenderedPageBreak/>
        <w:t xml:space="preserve">C-390/14. M.P. Alberto Rojas Ríos. Régimen de la libertad. </w:t>
      </w:r>
      <w:r w:rsidRPr="00D36D01">
        <w:rPr>
          <w:rFonts w:asciiTheme="majorHAnsi" w:hAnsiTheme="majorHAnsi" w:cstheme="majorHAnsi"/>
          <w:b/>
        </w:rPr>
        <w:t xml:space="preserve">Medidas de aseguramiento. </w:t>
      </w:r>
      <w:r w:rsidRPr="00D36D01">
        <w:rPr>
          <w:rFonts w:asciiTheme="majorHAnsi" w:hAnsiTheme="majorHAnsi" w:cstheme="majorHAnsi"/>
          <w:b/>
          <w:u w:val="single"/>
        </w:rPr>
        <w:t>Detención preventiva. Libertad provisional por vencimiento de términos. Garantía convencional a ser juzgado en un término razonable o a ser puesto en libertad.</w:t>
      </w:r>
      <w:r w:rsidRPr="00D36D01">
        <w:rPr>
          <w:rFonts w:asciiTheme="majorHAnsi" w:hAnsiTheme="majorHAnsi" w:cstheme="majorHAnsi"/>
          <w:u w:val="single"/>
        </w:rPr>
        <w:t xml:space="preserve"> </w:t>
      </w:r>
    </w:p>
    <w:p w14:paraId="418D273E" w14:textId="77777777" w:rsidR="00E738AD" w:rsidRPr="00D36D01" w:rsidRDefault="00E738AD" w:rsidP="00E738AD">
      <w:pPr>
        <w:pStyle w:val="Prrafodelista"/>
        <w:rPr>
          <w:rFonts w:asciiTheme="majorHAnsi" w:hAnsiTheme="majorHAnsi" w:cstheme="majorHAnsi"/>
        </w:rPr>
      </w:pPr>
    </w:p>
    <w:p w14:paraId="2D109C0C" w14:textId="77777777" w:rsidR="00E738AD"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rPr>
        <w:t xml:space="preserve">C-881/14. M.P. Jorge Ignacio Pretelt Chaljub. </w:t>
      </w:r>
      <w:r w:rsidRPr="00D36D01">
        <w:rPr>
          <w:rFonts w:asciiTheme="majorHAnsi" w:hAnsiTheme="majorHAnsi" w:cstheme="majorHAnsi"/>
          <w:b/>
        </w:rPr>
        <w:t xml:space="preserve">Régimen de injerencias, </w:t>
      </w:r>
      <w:r w:rsidRPr="00D36D01">
        <w:rPr>
          <w:rFonts w:asciiTheme="majorHAnsi" w:hAnsiTheme="majorHAnsi" w:cstheme="majorHAnsi"/>
          <w:b/>
          <w:u w:val="single"/>
        </w:rPr>
        <w:t>seguimiento pasivo de personas.</w:t>
      </w:r>
    </w:p>
    <w:p w14:paraId="713F4F93" w14:textId="77777777" w:rsidR="00E738AD" w:rsidRPr="00D36D01" w:rsidRDefault="00E738AD" w:rsidP="00E738AD">
      <w:pPr>
        <w:pStyle w:val="Prrafodelista"/>
        <w:rPr>
          <w:rFonts w:asciiTheme="majorHAnsi" w:hAnsiTheme="majorHAnsi" w:cstheme="majorHAnsi"/>
        </w:rPr>
      </w:pPr>
    </w:p>
    <w:p w14:paraId="6258996F" w14:textId="77777777" w:rsidR="00E738AD"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rPr>
        <w:t xml:space="preserve">C-342/17. M.P. Iván Humberto </w:t>
      </w:r>
      <w:proofErr w:type="spellStart"/>
      <w:r w:rsidRPr="00D36D01">
        <w:rPr>
          <w:rFonts w:asciiTheme="majorHAnsi" w:hAnsiTheme="majorHAnsi" w:cstheme="majorHAnsi"/>
        </w:rPr>
        <w:t>Escrucería</w:t>
      </w:r>
      <w:proofErr w:type="spellEnd"/>
      <w:r w:rsidRPr="00D36D01">
        <w:rPr>
          <w:rFonts w:asciiTheme="majorHAnsi" w:hAnsiTheme="majorHAnsi" w:cstheme="majorHAnsi"/>
        </w:rPr>
        <w:t xml:space="preserve"> Mayolo. </w:t>
      </w:r>
      <w:r w:rsidRPr="00D36D01">
        <w:rPr>
          <w:rFonts w:asciiTheme="majorHAnsi" w:hAnsiTheme="majorHAnsi" w:cstheme="majorHAnsi"/>
          <w:u w:val="single"/>
        </w:rPr>
        <w:t xml:space="preserve">Régimen de la libertad. </w:t>
      </w:r>
      <w:r w:rsidRPr="00D36D01">
        <w:rPr>
          <w:rFonts w:asciiTheme="majorHAnsi" w:hAnsiTheme="majorHAnsi" w:cstheme="majorHAnsi"/>
          <w:b/>
          <w:u w:val="single"/>
        </w:rPr>
        <w:t>Detención del acusado contra quien se ha proferido sentencia condenatoria en primera instancia.</w:t>
      </w:r>
    </w:p>
    <w:p w14:paraId="7C032012" w14:textId="77777777" w:rsidR="00E738AD" w:rsidRPr="00D36D01" w:rsidRDefault="00E738AD" w:rsidP="00E738AD">
      <w:pPr>
        <w:pStyle w:val="Prrafodelista"/>
        <w:rPr>
          <w:rFonts w:asciiTheme="majorHAnsi" w:hAnsiTheme="majorHAnsi" w:cstheme="majorHAnsi"/>
        </w:rPr>
      </w:pPr>
    </w:p>
    <w:p w14:paraId="6F87D6ED" w14:textId="1AF273FE" w:rsidR="00633319" w:rsidRPr="00D36D01" w:rsidRDefault="00633319" w:rsidP="00633319">
      <w:pPr>
        <w:pStyle w:val="Prrafodelista"/>
        <w:numPr>
          <w:ilvl w:val="0"/>
          <w:numId w:val="12"/>
        </w:numPr>
        <w:jc w:val="both"/>
        <w:rPr>
          <w:rFonts w:asciiTheme="majorHAnsi" w:hAnsiTheme="majorHAnsi" w:cstheme="majorHAnsi"/>
          <w:b/>
          <w:u w:val="single"/>
          <w:lang w:bidi="es-ES"/>
        </w:rPr>
      </w:pPr>
      <w:r w:rsidRPr="00D36D01">
        <w:rPr>
          <w:rFonts w:asciiTheme="majorHAnsi" w:hAnsiTheme="majorHAnsi" w:cstheme="majorHAnsi"/>
        </w:rPr>
        <w:t xml:space="preserve">C-221/17. M.P. José Antonio Cepeda </w:t>
      </w:r>
      <w:proofErr w:type="spellStart"/>
      <w:r w:rsidRPr="00D36D01">
        <w:rPr>
          <w:rFonts w:asciiTheme="majorHAnsi" w:hAnsiTheme="majorHAnsi" w:cstheme="majorHAnsi"/>
        </w:rPr>
        <w:t>Amarís</w:t>
      </w:r>
      <w:proofErr w:type="spellEnd"/>
      <w:r w:rsidRPr="00D36D01">
        <w:rPr>
          <w:rFonts w:asciiTheme="majorHAnsi" w:hAnsiTheme="majorHAnsi" w:cstheme="majorHAnsi"/>
        </w:rPr>
        <w:t xml:space="preserve">. Régimen de la libertad. </w:t>
      </w:r>
      <w:r w:rsidRPr="00D36D01">
        <w:rPr>
          <w:rFonts w:asciiTheme="majorHAnsi" w:hAnsiTheme="majorHAnsi" w:cstheme="majorHAnsi"/>
          <w:b/>
          <w:u w:val="single"/>
        </w:rPr>
        <w:t>Medidas de aseguramiento. Término máximo de detención preventiva, se extiende hasta que se ha proferido fallo de segunda instancia.</w:t>
      </w:r>
      <w:r w:rsidRPr="00D36D01">
        <w:rPr>
          <w:rFonts w:asciiTheme="majorHAnsi" w:hAnsiTheme="majorHAnsi" w:cstheme="majorHAnsi"/>
          <w:b/>
        </w:rPr>
        <w:t xml:space="preserve"> </w:t>
      </w:r>
      <w:r w:rsidRPr="00D36D01">
        <w:rPr>
          <w:rFonts w:asciiTheme="majorHAnsi" w:hAnsiTheme="majorHAnsi" w:cstheme="majorHAnsi"/>
        </w:rPr>
        <w:t xml:space="preserve">Nota:  La Sala de Casación Penal se aparta de este precedente. </w:t>
      </w:r>
    </w:p>
    <w:p w14:paraId="494D2F31" w14:textId="77777777" w:rsidR="00633319" w:rsidRPr="00D36D01" w:rsidRDefault="00633319" w:rsidP="00633319">
      <w:pPr>
        <w:jc w:val="both"/>
        <w:rPr>
          <w:rFonts w:asciiTheme="majorHAnsi" w:hAnsiTheme="majorHAnsi" w:cstheme="majorHAnsi"/>
          <w:sz w:val="22"/>
          <w:szCs w:val="22"/>
        </w:rPr>
      </w:pPr>
    </w:p>
    <w:p w14:paraId="311856A0" w14:textId="77777777" w:rsidR="00633319" w:rsidRPr="00D36D01" w:rsidRDefault="00633319" w:rsidP="00E738AD">
      <w:pPr>
        <w:pStyle w:val="Prrafodelista"/>
        <w:numPr>
          <w:ilvl w:val="0"/>
          <w:numId w:val="12"/>
        </w:numPr>
        <w:jc w:val="both"/>
        <w:rPr>
          <w:rFonts w:asciiTheme="majorHAnsi" w:hAnsiTheme="majorHAnsi" w:cstheme="majorHAnsi"/>
        </w:rPr>
      </w:pPr>
      <w:r w:rsidRPr="00D36D01">
        <w:rPr>
          <w:rFonts w:asciiTheme="majorHAnsi" w:hAnsiTheme="majorHAnsi" w:cstheme="majorHAnsi"/>
        </w:rPr>
        <w:t xml:space="preserve">C-042/18. M.P. Gloria Stella Ortiz Delgado. </w:t>
      </w:r>
      <w:r w:rsidRPr="00D36D01">
        <w:rPr>
          <w:rFonts w:asciiTheme="majorHAnsi" w:hAnsiTheme="majorHAnsi" w:cstheme="majorHAnsi"/>
          <w:b/>
        </w:rPr>
        <w:t>Régimen de la libertad. Captura</w:t>
      </w:r>
      <w:r w:rsidRPr="00D36D01">
        <w:rPr>
          <w:rFonts w:asciiTheme="majorHAnsi" w:hAnsiTheme="majorHAnsi" w:cstheme="majorHAnsi"/>
        </w:rPr>
        <w:t xml:space="preserve">. </w:t>
      </w:r>
      <w:r w:rsidRPr="00D36D01">
        <w:rPr>
          <w:rFonts w:asciiTheme="majorHAnsi" w:hAnsiTheme="majorHAnsi" w:cstheme="majorHAnsi"/>
          <w:b/>
          <w:u w:val="single"/>
        </w:rPr>
        <w:t>Captura de quien es aprehendido para cumplir sentencia. Necesidad de control judicial.</w:t>
      </w:r>
      <w:r w:rsidRPr="00D36D01">
        <w:rPr>
          <w:rFonts w:asciiTheme="majorHAnsi" w:hAnsiTheme="majorHAnsi" w:cstheme="majorHAnsi"/>
        </w:rPr>
        <w:t xml:space="preserve"> </w:t>
      </w:r>
    </w:p>
    <w:p w14:paraId="0DBFFA37" w14:textId="77777777" w:rsidR="00633319" w:rsidRPr="00D36D01" w:rsidRDefault="00633319" w:rsidP="00633319">
      <w:pPr>
        <w:jc w:val="both"/>
        <w:rPr>
          <w:rFonts w:asciiTheme="majorHAnsi" w:hAnsiTheme="majorHAnsi" w:cstheme="majorHAnsi"/>
          <w:sz w:val="22"/>
          <w:szCs w:val="22"/>
        </w:rPr>
      </w:pPr>
    </w:p>
    <w:p w14:paraId="18EECB67" w14:textId="77777777" w:rsidR="00633319" w:rsidRPr="00D36D01" w:rsidRDefault="00633319" w:rsidP="00E738AD">
      <w:pPr>
        <w:pStyle w:val="Prrafodelista"/>
        <w:numPr>
          <w:ilvl w:val="0"/>
          <w:numId w:val="12"/>
        </w:numPr>
        <w:jc w:val="both"/>
        <w:rPr>
          <w:rFonts w:asciiTheme="majorHAnsi" w:hAnsiTheme="majorHAnsi" w:cstheme="majorHAnsi"/>
          <w:b/>
          <w:u w:val="single"/>
        </w:rPr>
      </w:pPr>
      <w:r w:rsidRPr="00D36D01">
        <w:rPr>
          <w:rFonts w:asciiTheme="majorHAnsi" w:hAnsiTheme="majorHAnsi" w:cstheme="majorHAnsi"/>
        </w:rPr>
        <w:t xml:space="preserve">C-567/2019. M.P. Alberto Rojas Ríos Régimen de la libertad. </w:t>
      </w:r>
      <w:r w:rsidRPr="00D36D01">
        <w:rPr>
          <w:rFonts w:asciiTheme="majorHAnsi" w:hAnsiTheme="majorHAnsi" w:cstheme="majorHAnsi"/>
          <w:b/>
        </w:rPr>
        <w:t xml:space="preserve">Detención preventiva. </w:t>
      </w:r>
      <w:r w:rsidRPr="00D36D01">
        <w:rPr>
          <w:rFonts w:asciiTheme="majorHAnsi" w:hAnsiTheme="majorHAnsi" w:cstheme="majorHAnsi"/>
          <w:b/>
          <w:u w:val="single"/>
        </w:rPr>
        <w:t>El peligro para la comunidad debe valorarse conforme a las circunstancias del caso concreto.</w:t>
      </w:r>
    </w:p>
    <w:p w14:paraId="1BFDE378" w14:textId="77777777" w:rsidR="00633319" w:rsidRPr="00D36D01" w:rsidRDefault="00633319" w:rsidP="00633319">
      <w:pPr>
        <w:jc w:val="both"/>
        <w:rPr>
          <w:rFonts w:asciiTheme="majorHAnsi" w:hAnsiTheme="majorHAnsi" w:cstheme="majorHAnsi"/>
          <w:b/>
          <w:sz w:val="22"/>
          <w:szCs w:val="22"/>
          <w:u w:val="single"/>
        </w:rPr>
      </w:pPr>
    </w:p>
    <w:p w14:paraId="760C3D25" w14:textId="77777777" w:rsidR="00633319" w:rsidRPr="00D36D01" w:rsidRDefault="00633319" w:rsidP="00E738AD">
      <w:pPr>
        <w:pStyle w:val="Prrafodelista"/>
        <w:numPr>
          <w:ilvl w:val="0"/>
          <w:numId w:val="12"/>
        </w:numPr>
        <w:jc w:val="both"/>
        <w:rPr>
          <w:rFonts w:asciiTheme="majorHAnsi" w:hAnsiTheme="majorHAnsi" w:cstheme="majorHAnsi"/>
          <w:b/>
          <w:u w:val="single"/>
        </w:rPr>
      </w:pPr>
      <w:r w:rsidRPr="00D36D01">
        <w:rPr>
          <w:rFonts w:asciiTheme="majorHAnsi" w:hAnsiTheme="majorHAnsi" w:cstheme="majorHAnsi"/>
        </w:rPr>
        <w:t xml:space="preserve">C-822/05. M.P. Manuel José Cepeda Espinosa. </w:t>
      </w:r>
      <w:r w:rsidRPr="00D36D01">
        <w:rPr>
          <w:rFonts w:asciiTheme="majorHAnsi" w:hAnsiTheme="majorHAnsi" w:cstheme="majorHAnsi"/>
          <w:b/>
        </w:rPr>
        <w:t>Régimen de injerencias.</w:t>
      </w:r>
      <w:r w:rsidRPr="00D36D01">
        <w:rPr>
          <w:rFonts w:asciiTheme="majorHAnsi" w:hAnsiTheme="majorHAnsi" w:cstheme="majorHAnsi"/>
        </w:rPr>
        <w:t xml:space="preserve"> </w:t>
      </w:r>
      <w:r w:rsidRPr="00D36D01">
        <w:rPr>
          <w:rFonts w:asciiTheme="majorHAnsi" w:hAnsiTheme="majorHAnsi" w:cstheme="majorHAnsi"/>
          <w:b/>
          <w:u w:val="single"/>
        </w:rPr>
        <w:t xml:space="preserve">Inspección y registros corporales. Control judicial. Principio de proporcionalidad. </w:t>
      </w:r>
    </w:p>
    <w:p w14:paraId="4E92AA61" w14:textId="77777777" w:rsidR="00633319" w:rsidRPr="00D36D01" w:rsidRDefault="00633319" w:rsidP="00633319">
      <w:pPr>
        <w:jc w:val="both"/>
        <w:rPr>
          <w:rFonts w:asciiTheme="majorHAnsi" w:hAnsiTheme="majorHAnsi" w:cstheme="majorHAnsi"/>
          <w:sz w:val="22"/>
          <w:szCs w:val="22"/>
        </w:rPr>
      </w:pPr>
    </w:p>
    <w:p w14:paraId="6B9F217A" w14:textId="77777777" w:rsidR="00633319" w:rsidRPr="00D36D01" w:rsidRDefault="00633319" w:rsidP="00E738AD">
      <w:pPr>
        <w:pStyle w:val="Prrafodelista"/>
        <w:numPr>
          <w:ilvl w:val="0"/>
          <w:numId w:val="12"/>
        </w:numPr>
        <w:jc w:val="both"/>
        <w:rPr>
          <w:rFonts w:asciiTheme="majorHAnsi" w:hAnsiTheme="majorHAnsi" w:cstheme="majorHAnsi"/>
          <w:u w:val="single"/>
        </w:rPr>
      </w:pPr>
      <w:r w:rsidRPr="00D36D01">
        <w:rPr>
          <w:rFonts w:asciiTheme="majorHAnsi" w:hAnsiTheme="majorHAnsi" w:cstheme="majorHAnsi"/>
        </w:rPr>
        <w:t xml:space="preserve">C-789/06. M.P. Nilson Pinilla </w:t>
      </w:r>
      <w:proofErr w:type="spellStart"/>
      <w:r w:rsidRPr="00D36D01">
        <w:rPr>
          <w:rFonts w:asciiTheme="majorHAnsi" w:hAnsiTheme="majorHAnsi" w:cstheme="majorHAnsi"/>
        </w:rPr>
        <w:t>Pinilla</w:t>
      </w:r>
      <w:proofErr w:type="spellEnd"/>
      <w:r w:rsidRPr="00D36D01">
        <w:rPr>
          <w:rFonts w:asciiTheme="majorHAnsi" w:hAnsiTheme="majorHAnsi" w:cstheme="majorHAnsi"/>
        </w:rPr>
        <w:t xml:space="preserve">. </w:t>
      </w:r>
      <w:r w:rsidRPr="00D36D01">
        <w:rPr>
          <w:rFonts w:asciiTheme="majorHAnsi" w:hAnsiTheme="majorHAnsi" w:cstheme="majorHAnsi"/>
          <w:b/>
        </w:rPr>
        <w:t xml:space="preserve">Régimen de injerencias. </w:t>
      </w:r>
      <w:r w:rsidRPr="00D36D01">
        <w:rPr>
          <w:rFonts w:asciiTheme="majorHAnsi" w:hAnsiTheme="majorHAnsi" w:cstheme="majorHAnsi"/>
          <w:b/>
          <w:u w:val="single"/>
        </w:rPr>
        <w:t>Registros personales, diferencias con la inspección corporal y otras injerencias.</w:t>
      </w:r>
      <w:r w:rsidRPr="00D36D01">
        <w:rPr>
          <w:rFonts w:asciiTheme="majorHAnsi" w:hAnsiTheme="majorHAnsi" w:cstheme="majorHAnsi"/>
          <w:u w:val="single"/>
        </w:rPr>
        <w:t xml:space="preserve"> </w:t>
      </w:r>
      <w:r w:rsidRPr="00D36D01">
        <w:rPr>
          <w:rFonts w:asciiTheme="majorHAnsi" w:hAnsiTheme="majorHAnsi" w:cstheme="majorHAnsi"/>
          <w:b/>
          <w:u w:val="single"/>
        </w:rPr>
        <w:t>Registro de vehículos.</w:t>
      </w:r>
      <w:r w:rsidRPr="00D36D01">
        <w:rPr>
          <w:rFonts w:asciiTheme="majorHAnsi" w:hAnsiTheme="majorHAnsi" w:cstheme="majorHAnsi"/>
          <w:u w:val="single"/>
        </w:rPr>
        <w:t xml:space="preserve"> </w:t>
      </w:r>
    </w:p>
    <w:p w14:paraId="34E092FA" w14:textId="115518A3" w:rsidR="00633319" w:rsidRPr="00D36D01" w:rsidRDefault="00633319" w:rsidP="00633319">
      <w:pPr>
        <w:pStyle w:val="Prrafodelista"/>
        <w:numPr>
          <w:ilvl w:val="0"/>
          <w:numId w:val="12"/>
        </w:numPr>
        <w:jc w:val="both"/>
        <w:rPr>
          <w:rFonts w:asciiTheme="majorHAnsi" w:hAnsiTheme="majorHAnsi" w:cstheme="majorHAnsi"/>
          <w:b/>
        </w:rPr>
      </w:pPr>
      <w:r w:rsidRPr="00D36D01">
        <w:rPr>
          <w:rFonts w:asciiTheme="majorHAnsi" w:hAnsiTheme="majorHAnsi" w:cstheme="majorHAnsi"/>
        </w:rPr>
        <w:t xml:space="preserve">C-336/07. M.P. Jaime Córdoba Triviño. Régimen de injerencias. </w:t>
      </w:r>
      <w:r w:rsidRPr="00D36D01">
        <w:rPr>
          <w:rFonts w:asciiTheme="majorHAnsi" w:hAnsiTheme="majorHAnsi" w:cstheme="majorHAnsi"/>
          <w:b/>
        </w:rPr>
        <w:t>Búsqueda selectiva en base de datos. Autorización judicial previa.</w:t>
      </w:r>
    </w:p>
    <w:p w14:paraId="512DECFF" w14:textId="77777777" w:rsidR="00E738AD" w:rsidRPr="00D36D01" w:rsidRDefault="00E738AD" w:rsidP="00E738AD">
      <w:pPr>
        <w:pStyle w:val="Prrafodelista"/>
        <w:jc w:val="both"/>
        <w:rPr>
          <w:rFonts w:asciiTheme="majorHAnsi" w:hAnsiTheme="majorHAnsi" w:cstheme="majorHAnsi"/>
          <w:b/>
        </w:rPr>
      </w:pPr>
    </w:p>
    <w:p w14:paraId="30111219" w14:textId="23F4463B" w:rsidR="00633319" w:rsidRPr="00D36D01" w:rsidRDefault="00633319" w:rsidP="00633319">
      <w:pPr>
        <w:pStyle w:val="Prrafodelista"/>
        <w:numPr>
          <w:ilvl w:val="0"/>
          <w:numId w:val="12"/>
        </w:numPr>
        <w:jc w:val="both"/>
        <w:rPr>
          <w:rFonts w:asciiTheme="majorHAnsi" w:hAnsiTheme="majorHAnsi" w:cstheme="majorHAnsi"/>
          <w:b/>
          <w:u w:val="single"/>
        </w:rPr>
      </w:pPr>
      <w:r w:rsidRPr="00D36D01">
        <w:rPr>
          <w:rFonts w:asciiTheme="majorHAnsi" w:hAnsiTheme="majorHAnsi" w:cstheme="majorHAnsi"/>
        </w:rPr>
        <w:t xml:space="preserve">C-334/10. M.P. Juan Carlos Henao Pérez. </w:t>
      </w:r>
      <w:r w:rsidRPr="00D36D01">
        <w:rPr>
          <w:rFonts w:asciiTheme="majorHAnsi" w:hAnsiTheme="majorHAnsi" w:cstheme="majorHAnsi"/>
          <w:b/>
        </w:rPr>
        <w:t>Régimen de injerencias.</w:t>
      </w:r>
      <w:r w:rsidRPr="00D36D01">
        <w:rPr>
          <w:rFonts w:asciiTheme="majorHAnsi" w:hAnsiTheme="majorHAnsi" w:cstheme="majorHAnsi"/>
        </w:rPr>
        <w:t xml:space="preserve"> </w:t>
      </w:r>
      <w:r w:rsidRPr="00D36D01">
        <w:rPr>
          <w:rFonts w:asciiTheme="majorHAnsi" w:hAnsiTheme="majorHAnsi" w:cstheme="majorHAnsi"/>
          <w:b/>
        </w:rPr>
        <w:t xml:space="preserve">Autorización judicial previa para acceder a bases de datos contentivas de información sensible. </w:t>
      </w:r>
      <w:r w:rsidRPr="00D36D01">
        <w:rPr>
          <w:rFonts w:asciiTheme="majorHAnsi" w:hAnsiTheme="majorHAnsi" w:cstheme="majorHAnsi"/>
          <w:b/>
          <w:u w:val="single"/>
        </w:rPr>
        <w:t>Búsqueda selectiva en base de datos para el cotejo de muestras. Exigencia de orden judicial previa expedida por un juez de control de garantías.</w:t>
      </w:r>
    </w:p>
    <w:p w14:paraId="75DA3C0F" w14:textId="77777777" w:rsidR="00E738AD" w:rsidRPr="00D36D01" w:rsidRDefault="00E738AD" w:rsidP="00E738AD">
      <w:pPr>
        <w:pStyle w:val="Prrafodelista"/>
        <w:jc w:val="both"/>
        <w:rPr>
          <w:rFonts w:asciiTheme="majorHAnsi" w:hAnsiTheme="majorHAnsi" w:cstheme="majorHAnsi"/>
          <w:b/>
          <w:u w:val="single"/>
        </w:rPr>
      </w:pPr>
    </w:p>
    <w:p w14:paraId="293F8E86" w14:textId="22B5E552" w:rsidR="00633319" w:rsidRPr="00D36D01" w:rsidRDefault="00633319" w:rsidP="00633319">
      <w:pPr>
        <w:pStyle w:val="Prrafodelista"/>
        <w:numPr>
          <w:ilvl w:val="0"/>
          <w:numId w:val="12"/>
        </w:numPr>
        <w:jc w:val="both"/>
        <w:rPr>
          <w:rFonts w:asciiTheme="majorHAnsi" w:hAnsiTheme="majorHAnsi" w:cstheme="majorHAnsi"/>
          <w:b/>
        </w:rPr>
      </w:pPr>
      <w:r w:rsidRPr="00D36D01">
        <w:rPr>
          <w:rFonts w:asciiTheme="majorHAnsi" w:hAnsiTheme="majorHAnsi" w:cstheme="majorHAnsi"/>
        </w:rPr>
        <w:t xml:space="preserve">C-456/06. M.P. Alfredo Beltrán Sierra. </w:t>
      </w:r>
      <w:r w:rsidRPr="00D36D01">
        <w:rPr>
          <w:rFonts w:asciiTheme="majorHAnsi" w:hAnsiTheme="majorHAnsi" w:cstheme="majorHAnsi"/>
          <w:b/>
        </w:rPr>
        <w:t>Revocatoria de la medida de aseguramiento</w:t>
      </w:r>
      <w:r w:rsidR="00E738AD" w:rsidRPr="00D36D01">
        <w:rPr>
          <w:rFonts w:asciiTheme="majorHAnsi" w:hAnsiTheme="majorHAnsi" w:cstheme="majorHAnsi"/>
          <w:b/>
        </w:rPr>
        <w:t>.</w:t>
      </w:r>
    </w:p>
    <w:p w14:paraId="0EA917BB" w14:textId="77777777" w:rsidR="00E738AD" w:rsidRPr="00D36D01" w:rsidRDefault="00E738AD" w:rsidP="00E738AD">
      <w:pPr>
        <w:pStyle w:val="Prrafodelista"/>
        <w:jc w:val="both"/>
        <w:rPr>
          <w:rFonts w:asciiTheme="majorHAnsi" w:hAnsiTheme="majorHAnsi" w:cstheme="majorHAnsi"/>
          <w:b/>
        </w:rPr>
      </w:pPr>
    </w:p>
    <w:p w14:paraId="191C6005" w14:textId="342D0A82" w:rsidR="00633319" w:rsidRPr="00D36D01" w:rsidRDefault="00633319" w:rsidP="00633319">
      <w:pPr>
        <w:pStyle w:val="Prrafodelista"/>
        <w:numPr>
          <w:ilvl w:val="0"/>
          <w:numId w:val="12"/>
        </w:numPr>
        <w:jc w:val="both"/>
        <w:rPr>
          <w:rFonts w:asciiTheme="majorHAnsi" w:hAnsiTheme="majorHAnsi" w:cstheme="majorHAnsi"/>
          <w:b/>
        </w:rPr>
      </w:pPr>
      <w:r w:rsidRPr="00D36D01">
        <w:rPr>
          <w:rFonts w:asciiTheme="majorHAnsi" w:hAnsiTheme="majorHAnsi" w:cstheme="majorHAnsi"/>
        </w:rPr>
        <w:lastRenderedPageBreak/>
        <w:t xml:space="preserve">C-1195/05. M.P. Jaime Araujo Rentería. </w:t>
      </w:r>
      <w:r w:rsidRPr="00D36D01">
        <w:rPr>
          <w:rFonts w:asciiTheme="majorHAnsi" w:hAnsiTheme="majorHAnsi" w:cstheme="majorHAnsi"/>
          <w:b/>
        </w:rPr>
        <w:t>Allanamiento a cargos.</w:t>
      </w:r>
    </w:p>
    <w:p w14:paraId="6E4B0E71" w14:textId="77777777" w:rsidR="00E738AD" w:rsidRPr="00D36D01" w:rsidRDefault="00E738AD" w:rsidP="00E738AD">
      <w:pPr>
        <w:pStyle w:val="Prrafodelista"/>
        <w:jc w:val="both"/>
        <w:rPr>
          <w:rFonts w:asciiTheme="majorHAnsi" w:hAnsiTheme="majorHAnsi" w:cstheme="majorHAnsi"/>
          <w:b/>
        </w:rPr>
      </w:pPr>
    </w:p>
    <w:p w14:paraId="38149757" w14:textId="7EBCA532" w:rsidR="00633319" w:rsidRPr="00D36D01" w:rsidRDefault="00633319" w:rsidP="00633319">
      <w:pPr>
        <w:pStyle w:val="Prrafodelista"/>
        <w:numPr>
          <w:ilvl w:val="0"/>
          <w:numId w:val="12"/>
        </w:numPr>
        <w:jc w:val="both"/>
        <w:rPr>
          <w:rFonts w:asciiTheme="majorHAnsi" w:hAnsiTheme="majorHAnsi" w:cstheme="majorHAnsi"/>
          <w:b/>
          <w:lang w:bidi="es-ES"/>
        </w:rPr>
      </w:pPr>
      <w:r w:rsidRPr="00D36D01">
        <w:rPr>
          <w:rFonts w:asciiTheme="majorHAnsi" w:hAnsiTheme="majorHAnsi" w:cstheme="majorHAnsi"/>
          <w:lang w:bidi="es-ES"/>
        </w:rPr>
        <w:t xml:space="preserve">C- 1092 de 2003 Corte Constitucional Magistrado Ponente: Dr. ALVARO TAFUR GALVIS Diecinueve (19) de noviembre de dos mil tres (2003). </w:t>
      </w:r>
      <w:r w:rsidRPr="00D36D01">
        <w:rPr>
          <w:rFonts w:asciiTheme="majorHAnsi" w:hAnsiTheme="majorHAnsi" w:cstheme="majorHAnsi"/>
          <w:b/>
          <w:lang w:bidi="es-ES"/>
        </w:rPr>
        <w:t>Tema: Naturaleza del control de garantías, debe ser formal y material</w:t>
      </w:r>
      <w:r w:rsidR="00E738AD" w:rsidRPr="00D36D01">
        <w:rPr>
          <w:rFonts w:asciiTheme="majorHAnsi" w:hAnsiTheme="majorHAnsi" w:cstheme="majorHAnsi"/>
          <w:b/>
          <w:lang w:bidi="es-ES"/>
        </w:rPr>
        <w:t>.</w:t>
      </w:r>
    </w:p>
    <w:p w14:paraId="6AAC9CE5" w14:textId="77777777" w:rsidR="00C674B3" w:rsidRPr="00D36D01" w:rsidRDefault="00633319" w:rsidP="00C674B3">
      <w:pPr>
        <w:pStyle w:val="Sinespaciado"/>
        <w:numPr>
          <w:ilvl w:val="0"/>
          <w:numId w:val="12"/>
        </w:numPr>
        <w:jc w:val="both"/>
        <w:rPr>
          <w:rFonts w:asciiTheme="majorHAnsi" w:hAnsiTheme="majorHAnsi" w:cstheme="majorHAnsi"/>
          <w:sz w:val="22"/>
          <w:szCs w:val="22"/>
          <w:lang w:bidi="es-ES"/>
        </w:rPr>
      </w:pPr>
      <w:r w:rsidRPr="00D36D01">
        <w:rPr>
          <w:rFonts w:asciiTheme="majorHAnsi" w:hAnsiTheme="majorHAnsi" w:cstheme="majorHAnsi"/>
          <w:sz w:val="22"/>
          <w:szCs w:val="22"/>
          <w:lang w:bidi="es-ES"/>
        </w:rPr>
        <w:t>C-591 de 2005 Corte Constitucional Magistrado Ponente. Dra. Clan Inés Vargas Hernández Nueve (9) de junio de 2005.</w:t>
      </w:r>
      <w:r w:rsidRPr="00D36D01">
        <w:rPr>
          <w:rFonts w:asciiTheme="majorHAnsi" w:hAnsiTheme="majorHAnsi" w:cstheme="majorHAnsi"/>
          <w:b/>
          <w:sz w:val="22"/>
          <w:szCs w:val="22"/>
          <w:lang w:bidi="es-ES"/>
        </w:rPr>
        <w:t xml:space="preserve">  </w:t>
      </w:r>
      <w:r w:rsidRPr="00D36D01">
        <w:rPr>
          <w:rFonts w:asciiTheme="majorHAnsi" w:hAnsiTheme="majorHAnsi" w:cstheme="majorHAnsi"/>
          <w:b/>
          <w:sz w:val="22"/>
          <w:szCs w:val="22"/>
          <w:u w:val="single"/>
          <w:lang w:bidi="es-ES"/>
        </w:rPr>
        <w:t>Temas: El acto legislativo 03 de 2002 y las modificaciones que introdujo en el sistema procesal pena]/ Las características esenciales y propias del nuevo sistema procesal penal//Archivo de las diligencias - tan solo lo puede decretar el juez de conocimiento- / Cláusula de Exclusión en materia de registros y allanamientos / Cláusula general de exclusión.</w:t>
      </w:r>
    </w:p>
    <w:p w14:paraId="11E8CCB3" w14:textId="77777777" w:rsidR="00C674B3" w:rsidRPr="00D36D01" w:rsidRDefault="00C674B3" w:rsidP="00C674B3">
      <w:pPr>
        <w:pStyle w:val="Sinespaciado"/>
        <w:ind w:left="720"/>
        <w:jc w:val="both"/>
        <w:rPr>
          <w:rFonts w:asciiTheme="majorHAnsi" w:hAnsiTheme="majorHAnsi" w:cstheme="majorHAnsi"/>
          <w:sz w:val="22"/>
          <w:szCs w:val="22"/>
          <w:lang w:bidi="es-ES"/>
        </w:rPr>
      </w:pPr>
    </w:p>
    <w:p w14:paraId="14C9323A" w14:textId="7DC7A8B6" w:rsidR="00C674B3" w:rsidRPr="00D36D01" w:rsidRDefault="00C674B3" w:rsidP="00C674B3">
      <w:pPr>
        <w:pStyle w:val="Sinespaciado"/>
        <w:numPr>
          <w:ilvl w:val="0"/>
          <w:numId w:val="12"/>
        </w:numPr>
        <w:jc w:val="both"/>
        <w:rPr>
          <w:rFonts w:asciiTheme="majorHAnsi" w:hAnsiTheme="majorHAnsi" w:cstheme="majorHAnsi"/>
          <w:sz w:val="22"/>
          <w:szCs w:val="22"/>
          <w:lang w:bidi="es-ES"/>
        </w:rPr>
      </w:pPr>
      <w:r w:rsidRPr="00D36D01">
        <w:rPr>
          <w:rFonts w:asciiTheme="majorHAnsi" w:hAnsiTheme="majorHAnsi" w:cstheme="majorHAnsi"/>
          <w:sz w:val="22"/>
          <w:szCs w:val="22"/>
          <w:lang w:bidi="es-ES"/>
        </w:rPr>
        <w:t xml:space="preserve">C-199/02 Corte Constitucional Magistrado Ponente: Dr. MARCO GERARDO MONROY CABRA Diecinueve (19) de marzo de dos mil dos (2002). </w:t>
      </w:r>
      <w:r w:rsidRPr="00D36D01">
        <w:rPr>
          <w:rFonts w:asciiTheme="majorHAnsi" w:hAnsiTheme="majorHAnsi" w:cstheme="majorHAnsi"/>
          <w:b/>
          <w:sz w:val="22"/>
          <w:szCs w:val="22"/>
          <w:lang w:bidi="es-ES"/>
        </w:rPr>
        <w:t>Tema: Variación de la calificación jurídica provisional – ley 600 de 2000.</w:t>
      </w:r>
    </w:p>
    <w:p w14:paraId="721D863A" w14:textId="77777777" w:rsidR="00B977C9" w:rsidRPr="00D36D01" w:rsidRDefault="00B977C9" w:rsidP="00B977C9">
      <w:pPr>
        <w:pStyle w:val="Sinespaciado"/>
        <w:ind w:left="720"/>
        <w:jc w:val="both"/>
        <w:rPr>
          <w:rFonts w:asciiTheme="majorHAnsi" w:hAnsiTheme="majorHAnsi" w:cstheme="majorHAnsi"/>
          <w:sz w:val="22"/>
          <w:szCs w:val="22"/>
          <w:lang w:bidi="es-ES"/>
        </w:rPr>
      </w:pPr>
    </w:p>
    <w:p w14:paraId="34821AE0" w14:textId="7A0BF8D3" w:rsidR="00B977C9" w:rsidRPr="00D36D01" w:rsidRDefault="00C674B3" w:rsidP="00B977C9">
      <w:pPr>
        <w:pStyle w:val="Sinespaciado"/>
        <w:numPr>
          <w:ilvl w:val="0"/>
          <w:numId w:val="12"/>
        </w:numPr>
        <w:jc w:val="both"/>
        <w:rPr>
          <w:rFonts w:asciiTheme="majorHAnsi" w:hAnsiTheme="majorHAnsi" w:cstheme="majorHAnsi"/>
          <w:sz w:val="22"/>
          <w:szCs w:val="22"/>
          <w:lang w:bidi="es-ES"/>
        </w:rPr>
      </w:pPr>
      <w:r w:rsidRPr="00D36D01">
        <w:rPr>
          <w:rFonts w:asciiTheme="majorHAnsi" w:hAnsiTheme="majorHAnsi" w:cstheme="majorHAnsi"/>
          <w:sz w:val="22"/>
          <w:szCs w:val="22"/>
        </w:rPr>
        <w:t xml:space="preserve">C-1194/05. M.P. Marco Gerardo Monroy Cabra. </w:t>
      </w:r>
      <w:r w:rsidRPr="00D36D01">
        <w:rPr>
          <w:rFonts w:asciiTheme="majorHAnsi" w:hAnsiTheme="majorHAnsi" w:cstheme="majorHAnsi"/>
          <w:b/>
          <w:sz w:val="22"/>
          <w:szCs w:val="22"/>
          <w:u w:val="single"/>
        </w:rPr>
        <w:t>Descubrimiento probatorio.</w:t>
      </w:r>
    </w:p>
    <w:p w14:paraId="489760DC" w14:textId="77777777" w:rsidR="00B977C9" w:rsidRPr="00D36D01" w:rsidRDefault="00B977C9" w:rsidP="00B977C9">
      <w:pPr>
        <w:pStyle w:val="Sinespaciado"/>
        <w:ind w:left="720"/>
        <w:jc w:val="both"/>
        <w:rPr>
          <w:rFonts w:asciiTheme="majorHAnsi" w:hAnsiTheme="majorHAnsi" w:cstheme="majorHAnsi"/>
          <w:sz w:val="22"/>
          <w:szCs w:val="22"/>
          <w:lang w:bidi="es-ES"/>
        </w:rPr>
      </w:pPr>
    </w:p>
    <w:p w14:paraId="40B202A2" w14:textId="7A2F8EEB" w:rsidR="00B977C9" w:rsidRPr="00D36D01" w:rsidRDefault="00B977C9" w:rsidP="00B977C9">
      <w:pPr>
        <w:pStyle w:val="Sinespaciado"/>
        <w:numPr>
          <w:ilvl w:val="0"/>
          <w:numId w:val="12"/>
        </w:numPr>
        <w:jc w:val="both"/>
        <w:rPr>
          <w:rFonts w:asciiTheme="majorHAnsi" w:hAnsiTheme="majorHAnsi" w:cstheme="majorHAnsi"/>
          <w:sz w:val="22"/>
          <w:szCs w:val="22"/>
          <w:lang w:bidi="es-ES"/>
        </w:rPr>
      </w:pPr>
      <w:r w:rsidRPr="00D36D01">
        <w:rPr>
          <w:rFonts w:asciiTheme="majorHAnsi" w:hAnsiTheme="majorHAnsi" w:cstheme="majorHAnsi"/>
          <w:sz w:val="22"/>
          <w:szCs w:val="22"/>
          <w:lang w:bidi="es-ES"/>
        </w:rPr>
        <w:t xml:space="preserve">T-091 de 2006. Corte Constitucional. Magistrado Ponente- Dr. Jaime Córdoba Triviño Febrero diez (10) </w:t>
      </w:r>
      <w:proofErr w:type="spellStart"/>
      <w:r w:rsidRPr="00D36D01">
        <w:rPr>
          <w:rFonts w:asciiTheme="majorHAnsi" w:hAnsiTheme="majorHAnsi" w:cstheme="majorHAnsi"/>
          <w:sz w:val="22"/>
          <w:szCs w:val="22"/>
          <w:lang w:bidi="es-ES"/>
        </w:rPr>
        <w:t>dedos</w:t>
      </w:r>
      <w:proofErr w:type="spellEnd"/>
      <w:r w:rsidRPr="00D36D01">
        <w:rPr>
          <w:rFonts w:asciiTheme="majorHAnsi" w:hAnsiTheme="majorHAnsi" w:cstheme="majorHAnsi"/>
          <w:sz w:val="22"/>
          <w:szCs w:val="22"/>
          <w:lang w:bidi="es-ES"/>
        </w:rPr>
        <w:t xml:space="preserve"> mil seis (2006). </w:t>
      </w:r>
      <w:r w:rsidRPr="00D36D01">
        <w:rPr>
          <w:rFonts w:asciiTheme="majorHAnsi" w:hAnsiTheme="majorHAnsi" w:cstheme="majorHAnsi"/>
          <w:b/>
          <w:sz w:val="22"/>
          <w:szCs w:val="22"/>
          <w:u w:val="single"/>
          <w:lang w:bidi="es-ES"/>
        </w:rPr>
        <w:t>Temas: Procedencia de la Tutela contra decisiones judiciales / Aceptación de Cargos (naturaleza) / Preacuerdos y Negociaciones.</w:t>
      </w:r>
    </w:p>
    <w:p w14:paraId="2192CB6D" w14:textId="77777777" w:rsidR="00B977C9" w:rsidRPr="00D36D01" w:rsidRDefault="00B977C9" w:rsidP="00B977C9">
      <w:pPr>
        <w:pStyle w:val="Sinespaciado"/>
        <w:ind w:left="720"/>
        <w:jc w:val="both"/>
        <w:rPr>
          <w:rFonts w:asciiTheme="majorHAnsi" w:hAnsiTheme="majorHAnsi" w:cstheme="majorHAnsi"/>
          <w:sz w:val="22"/>
          <w:szCs w:val="22"/>
          <w:lang w:bidi="es-ES"/>
        </w:rPr>
      </w:pPr>
    </w:p>
    <w:p w14:paraId="3FD08507" w14:textId="327E0166" w:rsidR="00B977C9" w:rsidRPr="00D36D01" w:rsidRDefault="00B977C9" w:rsidP="00B977C9">
      <w:pPr>
        <w:pStyle w:val="Sinespaciado"/>
        <w:numPr>
          <w:ilvl w:val="0"/>
          <w:numId w:val="12"/>
        </w:numPr>
        <w:jc w:val="both"/>
        <w:rPr>
          <w:rFonts w:asciiTheme="majorHAnsi" w:hAnsiTheme="majorHAnsi" w:cstheme="majorHAnsi"/>
          <w:sz w:val="22"/>
          <w:szCs w:val="22"/>
          <w:lang w:bidi="es-ES"/>
        </w:rPr>
      </w:pPr>
      <w:r w:rsidRPr="00D36D01">
        <w:rPr>
          <w:rFonts w:asciiTheme="majorHAnsi" w:hAnsiTheme="majorHAnsi" w:cstheme="majorHAnsi"/>
          <w:sz w:val="22"/>
          <w:szCs w:val="22"/>
        </w:rPr>
        <w:t xml:space="preserve">C-645/12. M.P. Nilson Pinilla </w:t>
      </w:r>
      <w:proofErr w:type="spellStart"/>
      <w:r w:rsidRPr="00D36D01">
        <w:rPr>
          <w:rFonts w:asciiTheme="majorHAnsi" w:hAnsiTheme="majorHAnsi" w:cstheme="majorHAnsi"/>
          <w:sz w:val="22"/>
          <w:szCs w:val="22"/>
        </w:rPr>
        <w:t>Pinilla</w:t>
      </w:r>
      <w:proofErr w:type="spellEnd"/>
      <w:r w:rsidRPr="00D36D01">
        <w:rPr>
          <w:rFonts w:asciiTheme="majorHAnsi" w:hAnsiTheme="majorHAnsi" w:cstheme="majorHAnsi"/>
          <w:sz w:val="22"/>
          <w:szCs w:val="22"/>
        </w:rPr>
        <w:t xml:space="preserve">. </w:t>
      </w:r>
      <w:r w:rsidRPr="00D36D01">
        <w:rPr>
          <w:rFonts w:asciiTheme="majorHAnsi" w:hAnsiTheme="majorHAnsi" w:cstheme="majorHAnsi"/>
          <w:b/>
          <w:sz w:val="22"/>
          <w:szCs w:val="22"/>
          <w:u w:val="single"/>
        </w:rPr>
        <w:t>Allanamiento a cargos. Allanamiento a cargos en supuestos de flagrancia.</w:t>
      </w:r>
      <w:r w:rsidRPr="00D36D01">
        <w:rPr>
          <w:rFonts w:asciiTheme="majorHAnsi" w:hAnsiTheme="majorHAnsi" w:cstheme="majorHAnsi"/>
          <w:sz w:val="22"/>
          <w:szCs w:val="22"/>
        </w:rPr>
        <w:t xml:space="preserve"> </w:t>
      </w:r>
      <w:r w:rsidRPr="00D36D01">
        <w:rPr>
          <w:rFonts w:asciiTheme="majorHAnsi" w:hAnsiTheme="majorHAnsi" w:cstheme="majorHAnsi"/>
          <w:sz w:val="22"/>
          <w:szCs w:val="22"/>
          <w:u w:val="single"/>
        </w:rPr>
        <w:t>Validez constitucional de un tratamiento punitivo diferenciado.</w:t>
      </w:r>
    </w:p>
    <w:p w14:paraId="09FFFE4F" w14:textId="77777777" w:rsidR="00B977C9" w:rsidRPr="00D36D01" w:rsidRDefault="00B977C9" w:rsidP="00B977C9">
      <w:pPr>
        <w:pStyle w:val="Sinespaciado"/>
        <w:ind w:left="720"/>
        <w:jc w:val="both"/>
        <w:rPr>
          <w:rFonts w:asciiTheme="majorHAnsi" w:hAnsiTheme="majorHAnsi" w:cstheme="majorHAnsi"/>
          <w:sz w:val="22"/>
          <w:szCs w:val="22"/>
          <w:lang w:bidi="es-ES"/>
        </w:rPr>
      </w:pPr>
    </w:p>
    <w:p w14:paraId="22EFA8E9" w14:textId="7299229C" w:rsidR="00B977C9" w:rsidRPr="00D36D01" w:rsidRDefault="00B977C9" w:rsidP="00B977C9">
      <w:pPr>
        <w:pStyle w:val="Sinespaciado"/>
        <w:numPr>
          <w:ilvl w:val="0"/>
          <w:numId w:val="12"/>
        </w:numPr>
        <w:jc w:val="both"/>
        <w:rPr>
          <w:rFonts w:asciiTheme="majorHAnsi" w:hAnsiTheme="majorHAnsi" w:cstheme="majorHAnsi"/>
          <w:sz w:val="22"/>
          <w:szCs w:val="22"/>
          <w:lang w:bidi="es-ES"/>
        </w:rPr>
      </w:pPr>
      <w:r w:rsidRPr="00D36D01">
        <w:rPr>
          <w:rFonts w:asciiTheme="majorHAnsi" w:hAnsiTheme="majorHAnsi" w:cstheme="majorHAnsi"/>
          <w:sz w:val="22"/>
          <w:szCs w:val="22"/>
        </w:rPr>
        <w:t xml:space="preserve">SU-479/2019. M.P. Gloria Stella Ortiz Delgado. </w:t>
      </w:r>
      <w:r w:rsidRPr="00D36D01">
        <w:rPr>
          <w:rFonts w:asciiTheme="majorHAnsi" w:hAnsiTheme="majorHAnsi" w:cstheme="majorHAnsi"/>
          <w:b/>
          <w:sz w:val="22"/>
          <w:szCs w:val="22"/>
        </w:rPr>
        <w:t xml:space="preserve">Preacuerdos y negociaciones. Alcance de la potestad de variación de la calificación jurídica en desarrollo de un preacuerdo. </w:t>
      </w:r>
      <w:r w:rsidRPr="00D36D01">
        <w:rPr>
          <w:rFonts w:asciiTheme="majorHAnsi" w:hAnsiTheme="majorHAnsi" w:cstheme="majorHAnsi"/>
          <w:b/>
          <w:sz w:val="22"/>
          <w:szCs w:val="22"/>
          <w:u w:val="single"/>
        </w:rPr>
        <w:t>El reconocimiento de la circunstancia de atenuación punitiva de marginalidad, ignorancia o pobreza extrema demanda que estas condiciones estén acreditadas en la actuación.</w:t>
      </w:r>
    </w:p>
    <w:p w14:paraId="678F1DB1" w14:textId="77777777" w:rsidR="00B977C9" w:rsidRPr="00D36D01" w:rsidRDefault="00B977C9" w:rsidP="00E2687A">
      <w:pPr>
        <w:rPr>
          <w:rFonts w:asciiTheme="majorHAnsi" w:hAnsiTheme="majorHAnsi" w:cstheme="majorHAnsi"/>
          <w:b/>
          <w:sz w:val="22"/>
          <w:szCs w:val="22"/>
        </w:rPr>
      </w:pPr>
    </w:p>
    <w:p w14:paraId="20FA4A06" w14:textId="3BCDDE09" w:rsidR="00446ABB" w:rsidRPr="00D36D01" w:rsidRDefault="00446ABB" w:rsidP="00F23A67">
      <w:pPr>
        <w:pStyle w:val="Prrafodelista"/>
        <w:numPr>
          <w:ilvl w:val="0"/>
          <w:numId w:val="12"/>
        </w:numPr>
        <w:jc w:val="both"/>
        <w:rPr>
          <w:rFonts w:asciiTheme="majorHAnsi" w:hAnsiTheme="majorHAnsi" w:cstheme="majorHAnsi"/>
          <w:b/>
        </w:rPr>
      </w:pPr>
      <w:r w:rsidRPr="00D36D01">
        <w:rPr>
          <w:rFonts w:asciiTheme="majorHAnsi" w:hAnsiTheme="majorHAnsi" w:cstheme="majorHAnsi"/>
        </w:rPr>
        <w:t xml:space="preserve">C-1195/05. M.P. Jaime Araujo Rentería. </w:t>
      </w:r>
      <w:r w:rsidRPr="00D36D01">
        <w:rPr>
          <w:rFonts w:asciiTheme="majorHAnsi" w:hAnsiTheme="majorHAnsi" w:cstheme="majorHAnsi"/>
          <w:b/>
        </w:rPr>
        <w:t>Allanamiento a cargos.</w:t>
      </w:r>
    </w:p>
    <w:p w14:paraId="70B0BED6" w14:textId="77777777" w:rsidR="00B977C9" w:rsidRPr="00D36D01" w:rsidRDefault="00B977C9" w:rsidP="00E2687A">
      <w:pPr>
        <w:rPr>
          <w:rFonts w:asciiTheme="majorHAnsi" w:hAnsiTheme="majorHAnsi" w:cstheme="majorHAnsi"/>
          <w:b/>
          <w:sz w:val="22"/>
          <w:szCs w:val="22"/>
        </w:rPr>
      </w:pPr>
    </w:p>
    <w:p w14:paraId="30195354" w14:textId="48C964A4" w:rsidR="00357F17" w:rsidRPr="00D36D01" w:rsidRDefault="00357F17" w:rsidP="00E2687A">
      <w:pPr>
        <w:pStyle w:val="Prrafodelista"/>
        <w:numPr>
          <w:ilvl w:val="0"/>
          <w:numId w:val="12"/>
        </w:numPr>
        <w:jc w:val="both"/>
        <w:rPr>
          <w:rFonts w:asciiTheme="majorHAnsi" w:hAnsiTheme="majorHAnsi" w:cstheme="majorHAnsi"/>
          <w:b/>
          <w:u w:val="single"/>
        </w:rPr>
      </w:pPr>
      <w:r w:rsidRPr="00D36D01">
        <w:rPr>
          <w:rFonts w:asciiTheme="majorHAnsi" w:hAnsiTheme="majorHAnsi" w:cstheme="majorHAnsi"/>
        </w:rPr>
        <w:t xml:space="preserve">C-225/19. M.P. Antonio José Lizarazo Ocampo. </w:t>
      </w:r>
      <w:r w:rsidRPr="00D36D01">
        <w:rPr>
          <w:rFonts w:asciiTheme="majorHAnsi" w:hAnsiTheme="majorHAnsi" w:cstheme="majorHAnsi"/>
          <w:b/>
          <w:u w:val="single"/>
        </w:rPr>
        <w:t>Procedimiento penal abreviado. Principio de favorabilidad</w:t>
      </w:r>
    </w:p>
    <w:p w14:paraId="60A658C0" w14:textId="77777777" w:rsidR="00B977C9" w:rsidRPr="00D36D01" w:rsidRDefault="00B977C9" w:rsidP="00E2687A">
      <w:pPr>
        <w:rPr>
          <w:rFonts w:asciiTheme="majorHAnsi" w:hAnsiTheme="majorHAnsi" w:cstheme="majorHAnsi"/>
          <w:b/>
          <w:sz w:val="22"/>
          <w:szCs w:val="22"/>
        </w:rPr>
      </w:pPr>
    </w:p>
    <w:p w14:paraId="07BC631F" w14:textId="5CABDBFB" w:rsidR="00E2687A" w:rsidRPr="00D36D01" w:rsidRDefault="00E2687A" w:rsidP="00E2687A">
      <w:pPr>
        <w:pStyle w:val="Prrafodelista"/>
        <w:numPr>
          <w:ilvl w:val="0"/>
          <w:numId w:val="11"/>
        </w:numPr>
        <w:rPr>
          <w:rFonts w:asciiTheme="majorHAnsi" w:hAnsiTheme="majorHAnsi" w:cstheme="majorHAnsi"/>
          <w:b/>
        </w:rPr>
      </w:pPr>
      <w:r w:rsidRPr="00D36D01">
        <w:rPr>
          <w:rFonts w:asciiTheme="majorHAnsi" w:hAnsiTheme="majorHAnsi" w:cstheme="majorHAnsi"/>
          <w:b/>
        </w:rPr>
        <w:t>Jurisprudencia de la Corte Suprema de Justicia:</w:t>
      </w:r>
    </w:p>
    <w:p w14:paraId="60DBC1F8" w14:textId="0215E47F" w:rsidR="0028587D" w:rsidRPr="00D36D01" w:rsidRDefault="0028587D" w:rsidP="0028587D">
      <w:pPr>
        <w:pStyle w:val="Sinespaciado"/>
        <w:numPr>
          <w:ilvl w:val="0"/>
          <w:numId w:val="14"/>
        </w:numPr>
        <w:jc w:val="both"/>
        <w:rPr>
          <w:rFonts w:asciiTheme="majorHAnsi" w:eastAsia="AngsanaUPC" w:hAnsiTheme="majorHAnsi" w:cstheme="majorHAnsi"/>
          <w:b/>
          <w:color w:val="000000"/>
          <w:sz w:val="22"/>
          <w:szCs w:val="22"/>
          <w:lang w:bidi="es-ES"/>
        </w:rPr>
      </w:pPr>
      <w:r w:rsidRPr="00D36D01">
        <w:rPr>
          <w:rFonts w:asciiTheme="majorHAnsi" w:eastAsia="AngsanaUPC" w:hAnsiTheme="majorHAnsi" w:cstheme="majorHAnsi"/>
          <w:color w:val="000000"/>
          <w:sz w:val="22"/>
          <w:szCs w:val="22"/>
          <w:lang w:bidi="es-ES"/>
        </w:rPr>
        <w:t xml:space="preserve">Corte Suprema de Justicia. SP5104-2017. Rad. </w:t>
      </w:r>
      <w:r w:rsidRPr="00D36D01">
        <w:rPr>
          <w:rFonts w:asciiTheme="majorHAnsi" w:eastAsia="AngsanaUPC" w:hAnsiTheme="majorHAnsi" w:cstheme="majorHAnsi"/>
          <w:color w:val="000000"/>
          <w:sz w:val="22"/>
          <w:szCs w:val="22"/>
          <w:lang w:bidi="es-CO"/>
        </w:rPr>
        <w:t xml:space="preserve">40282. M.P.: </w:t>
      </w:r>
      <w:r w:rsidRPr="00D36D01">
        <w:rPr>
          <w:rFonts w:asciiTheme="majorHAnsi" w:eastAsia="AngsanaUPC" w:hAnsiTheme="majorHAnsi" w:cstheme="majorHAnsi"/>
          <w:color w:val="000000"/>
          <w:sz w:val="22"/>
          <w:szCs w:val="22"/>
          <w:lang w:bidi="es-ES"/>
        </w:rPr>
        <w:t xml:space="preserve">LUIS GUILLERMO SALAZAR OTERO. Cinco (5) de abril de dos mil diecisiete (2017). </w:t>
      </w:r>
      <w:r w:rsidRPr="00D36D01">
        <w:rPr>
          <w:rFonts w:asciiTheme="majorHAnsi" w:eastAsia="AngsanaUPC" w:hAnsiTheme="majorHAnsi" w:cstheme="majorHAnsi"/>
          <w:b/>
          <w:color w:val="000000"/>
          <w:sz w:val="22"/>
          <w:szCs w:val="22"/>
          <w:lang w:bidi="es-ES"/>
        </w:rPr>
        <w:t xml:space="preserve">Tema: Fuero Penal militar. Condiciones. </w:t>
      </w:r>
    </w:p>
    <w:p w14:paraId="69AD28CC" w14:textId="77777777" w:rsidR="0028587D" w:rsidRPr="00D36D01" w:rsidRDefault="0028587D" w:rsidP="0028587D">
      <w:pPr>
        <w:pStyle w:val="Sinespaciado"/>
        <w:ind w:left="142"/>
        <w:jc w:val="both"/>
        <w:rPr>
          <w:rFonts w:asciiTheme="majorHAnsi" w:eastAsia="AngsanaUPC" w:hAnsiTheme="majorHAnsi" w:cstheme="majorHAnsi"/>
          <w:b/>
          <w:color w:val="000000"/>
          <w:sz w:val="22"/>
          <w:szCs w:val="22"/>
          <w:lang w:bidi="es-ES"/>
        </w:rPr>
      </w:pPr>
    </w:p>
    <w:p w14:paraId="0DCCABF7" w14:textId="4132C14F" w:rsidR="00C64AFA" w:rsidRPr="00D36D01" w:rsidRDefault="0028587D" w:rsidP="00C64AFA">
      <w:pPr>
        <w:pStyle w:val="Sinespaciado"/>
        <w:numPr>
          <w:ilvl w:val="0"/>
          <w:numId w:val="14"/>
        </w:numPr>
        <w:jc w:val="both"/>
        <w:rPr>
          <w:rFonts w:asciiTheme="majorHAnsi" w:eastAsia="AngsanaUPC" w:hAnsiTheme="majorHAnsi" w:cstheme="majorHAnsi"/>
          <w:b/>
          <w:color w:val="000000"/>
          <w:sz w:val="22"/>
          <w:szCs w:val="22"/>
          <w:lang w:bidi="es-CO"/>
        </w:rPr>
      </w:pPr>
      <w:r w:rsidRPr="00D36D01">
        <w:rPr>
          <w:rFonts w:asciiTheme="majorHAnsi" w:eastAsia="AngsanaUPC" w:hAnsiTheme="majorHAnsi" w:cstheme="majorHAnsi"/>
          <w:color w:val="000000"/>
          <w:sz w:val="22"/>
          <w:szCs w:val="22"/>
          <w:lang w:bidi="es-ES"/>
        </w:rPr>
        <w:lastRenderedPageBreak/>
        <w:t xml:space="preserve">Corte Suprema de Justicia. Sala de Casación Penal. </w:t>
      </w:r>
      <w:r w:rsidRPr="00D36D01">
        <w:rPr>
          <w:rFonts w:asciiTheme="majorHAnsi" w:eastAsia="AngsanaUPC" w:hAnsiTheme="majorHAnsi" w:cstheme="majorHAnsi"/>
          <w:color w:val="000000"/>
          <w:sz w:val="22"/>
          <w:szCs w:val="22"/>
          <w:lang w:bidi="es-CO"/>
        </w:rPr>
        <w:t xml:space="preserve">AP1989-2019. Rad. 55395. MP.: EUGENIO FERNÁNDEZ CARLIER. Veintinueve (29) de mayo de dos mil diecinueve (2019). </w:t>
      </w:r>
      <w:r w:rsidRPr="00D36D01">
        <w:rPr>
          <w:rFonts w:asciiTheme="majorHAnsi" w:eastAsia="AngsanaUPC" w:hAnsiTheme="majorHAnsi" w:cstheme="majorHAnsi"/>
          <w:b/>
          <w:color w:val="000000"/>
          <w:sz w:val="22"/>
          <w:szCs w:val="22"/>
          <w:lang w:bidi="es-CO"/>
        </w:rPr>
        <w:t xml:space="preserve">Tema: Fuero Parlamentario. Caso Jesús </w:t>
      </w:r>
      <w:proofErr w:type="spellStart"/>
      <w:r w:rsidRPr="00D36D01">
        <w:rPr>
          <w:rFonts w:asciiTheme="majorHAnsi" w:eastAsia="AngsanaUPC" w:hAnsiTheme="majorHAnsi" w:cstheme="majorHAnsi"/>
          <w:b/>
          <w:color w:val="000000"/>
          <w:sz w:val="22"/>
          <w:szCs w:val="22"/>
          <w:lang w:bidi="es-CO"/>
        </w:rPr>
        <w:t>Santrich</w:t>
      </w:r>
      <w:proofErr w:type="spellEnd"/>
      <w:r w:rsidRPr="00D36D01">
        <w:rPr>
          <w:rFonts w:asciiTheme="majorHAnsi" w:eastAsia="AngsanaUPC" w:hAnsiTheme="majorHAnsi" w:cstheme="majorHAnsi"/>
          <w:b/>
          <w:color w:val="000000"/>
          <w:sz w:val="22"/>
          <w:szCs w:val="22"/>
          <w:lang w:bidi="es-CO"/>
        </w:rPr>
        <w:t>.</w:t>
      </w:r>
    </w:p>
    <w:p w14:paraId="427F3C1C" w14:textId="77777777" w:rsidR="00C64AFA" w:rsidRPr="00D36D01" w:rsidRDefault="00C64AFA" w:rsidP="00C64AFA">
      <w:pPr>
        <w:pStyle w:val="Sinespaciado"/>
        <w:ind w:left="502"/>
        <w:jc w:val="both"/>
        <w:rPr>
          <w:rFonts w:asciiTheme="majorHAnsi" w:eastAsia="AngsanaUPC" w:hAnsiTheme="majorHAnsi" w:cstheme="majorHAnsi"/>
          <w:b/>
          <w:color w:val="000000"/>
          <w:sz w:val="22"/>
          <w:szCs w:val="22"/>
          <w:lang w:bidi="es-CO"/>
        </w:rPr>
      </w:pPr>
    </w:p>
    <w:p w14:paraId="31D8B311" w14:textId="27F48678" w:rsidR="0009685C" w:rsidRPr="00D36D01" w:rsidRDefault="00C64AFA" w:rsidP="0009685C">
      <w:pPr>
        <w:pStyle w:val="Sinespaciado"/>
        <w:numPr>
          <w:ilvl w:val="0"/>
          <w:numId w:val="14"/>
        </w:numPr>
        <w:jc w:val="both"/>
        <w:rPr>
          <w:rFonts w:asciiTheme="majorHAnsi" w:eastAsia="AngsanaUPC" w:hAnsiTheme="majorHAnsi" w:cstheme="majorHAnsi"/>
          <w:color w:val="000000"/>
          <w:sz w:val="22"/>
          <w:szCs w:val="22"/>
          <w:lang w:bidi="es-ES"/>
        </w:rPr>
      </w:pPr>
      <w:r w:rsidRPr="00D36D01">
        <w:rPr>
          <w:rFonts w:asciiTheme="majorHAnsi" w:eastAsia="AngsanaUPC" w:hAnsiTheme="majorHAnsi" w:cstheme="majorHAnsi"/>
          <w:color w:val="000000"/>
          <w:sz w:val="22"/>
          <w:szCs w:val="22"/>
          <w:lang w:bidi="es-ES"/>
        </w:rPr>
        <w:t>17/10/2018. M.P. Patricia Salazar Cuéllar. Rad. 51885. Archivo de las diligencias. No procede cuando existe controversia sobre la participación del indiciado en los hechos.</w:t>
      </w:r>
    </w:p>
    <w:p w14:paraId="63AF705F" w14:textId="77777777" w:rsidR="00C64AFA" w:rsidRPr="00D36D01" w:rsidRDefault="00C64AFA" w:rsidP="00C64AFA">
      <w:pPr>
        <w:pStyle w:val="Sinespaciado"/>
        <w:ind w:left="502"/>
        <w:jc w:val="both"/>
        <w:rPr>
          <w:rFonts w:asciiTheme="majorHAnsi" w:eastAsia="AngsanaUPC" w:hAnsiTheme="majorHAnsi" w:cstheme="majorHAnsi"/>
          <w:color w:val="000000"/>
          <w:sz w:val="22"/>
          <w:szCs w:val="22"/>
          <w:lang w:bidi="es-ES"/>
        </w:rPr>
      </w:pPr>
    </w:p>
    <w:p w14:paraId="5C76CFA4" w14:textId="77777777" w:rsidR="00C64AFA" w:rsidRPr="00D36D01" w:rsidRDefault="00C64AFA" w:rsidP="00C64AFA">
      <w:pPr>
        <w:pStyle w:val="Sinespaciado"/>
        <w:numPr>
          <w:ilvl w:val="0"/>
          <w:numId w:val="14"/>
        </w:numPr>
        <w:jc w:val="both"/>
        <w:rPr>
          <w:rFonts w:asciiTheme="majorHAnsi" w:eastAsia="AngsanaUPC" w:hAnsiTheme="majorHAnsi" w:cstheme="majorHAnsi"/>
          <w:color w:val="000000"/>
          <w:sz w:val="22"/>
          <w:szCs w:val="22"/>
          <w:lang w:bidi="es-ES"/>
        </w:rPr>
      </w:pPr>
      <w:r w:rsidRPr="00D36D01">
        <w:rPr>
          <w:rFonts w:asciiTheme="majorHAnsi" w:eastAsia="AngsanaUPC" w:hAnsiTheme="majorHAnsi" w:cstheme="majorHAnsi"/>
          <w:color w:val="000000"/>
          <w:sz w:val="22"/>
          <w:szCs w:val="22"/>
          <w:lang w:bidi="es-ES"/>
        </w:rPr>
        <w:t>Sentencia de Casación; Expediente No 24128 Corte Suprema de Justicia, Sala de Casación Penal Magistrado Ponente: Dr. Yesid Ramírez Bastidas Septiembre diecinueve (19) de dos mil cinco (2005). Tema: Principio de Favorabilidad / Termino de Prescripción de la Acción Penal en la ley 906; imposibilidad de aplicarlo por vía de favorabilidad.</w:t>
      </w:r>
    </w:p>
    <w:p w14:paraId="5508AC54" w14:textId="77777777" w:rsidR="00C64AFA" w:rsidRPr="00D36D01" w:rsidRDefault="00C64AFA" w:rsidP="00C64AFA">
      <w:pPr>
        <w:pStyle w:val="Sinespaciado"/>
        <w:ind w:left="502"/>
        <w:jc w:val="both"/>
        <w:rPr>
          <w:rFonts w:asciiTheme="majorHAnsi" w:eastAsia="AngsanaUPC" w:hAnsiTheme="majorHAnsi" w:cstheme="majorHAnsi"/>
          <w:color w:val="000000"/>
          <w:sz w:val="22"/>
          <w:szCs w:val="22"/>
          <w:lang w:bidi="es-ES"/>
        </w:rPr>
      </w:pPr>
    </w:p>
    <w:p w14:paraId="3C9A4480" w14:textId="5A11C15A" w:rsidR="00C64AFA" w:rsidRPr="00D36D01" w:rsidRDefault="00C64AFA" w:rsidP="00C64AFA">
      <w:pPr>
        <w:pStyle w:val="Sinespaciado"/>
        <w:numPr>
          <w:ilvl w:val="0"/>
          <w:numId w:val="14"/>
        </w:numPr>
        <w:jc w:val="both"/>
        <w:rPr>
          <w:rFonts w:asciiTheme="majorHAnsi" w:eastAsia="AngsanaUPC" w:hAnsiTheme="majorHAnsi" w:cstheme="majorHAnsi"/>
          <w:color w:val="000000"/>
          <w:sz w:val="22"/>
          <w:szCs w:val="22"/>
          <w:lang w:bidi="es-ES"/>
        </w:rPr>
      </w:pPr>
      <w:r w:rsidRPr="00D36D01">
        <w:rPr>
          <w:rFonts w:asciiTheme="majorHAnsi" w:eastAsia="AngsanaUPC" w:hAnsiTheme="majorHAnsi" w:cstheme="majorHAnsi"/>
          <w:color w:val="000000"/>
          <w:sz w:val="22"/>
          <w:szCs w:val="22"/>
          <w:lang w:bidi="es-ES"/>
        </w:rPr>
        <w:t>10/04/2019. M.P. Francisco Acuña Vizcaya. Rad. 52706. Preclusión de la investigación. Las circunstancias previstas en el artículo 82 del C.P. pueden ser invocadas como fundamento de la solicitud de preclusión.</w:t>
      </w:r>
    </w:p>
    <w:p w14:paraId="2F87F912" w14:textId="77777777" w:rsidR="00C64AFA" w:rsidRPr="00D36D01" w:rsidRDefault="00C64AFA" w:rsidP="00C64AFA">
      <w:pPr>
        <w:pStyle w:val="Sinespaciado"/>
        <w:ind w:left="502"/>
        <w:jc w:val="both"/>
        <w:rPr>
          <w:rFonts w:asciiTheme="majorHAnsi" w:eastAsia="AngsanaUPC" w:hAnsiTheme="majorHAnsi" w:cstheme="majorHAnsi"/>
          <w:color w:val="000000"/>
          <w:sz w:val="22"/>
          <w:szCs w:val="22"/>
          <w:lang w:bidi="es-ES"/>
        </w:rPr>
      </w:pPr>
    </w:p>
    <w:p w14:paraId="53830BA9" w14:textId="77777777" w:rsidR="00971866" w:rsidRPr="00D36D01" w:rsidRDefault="0009685C" w:rsidP="00971866">
      <w:pPr>
        <w:pStyle w:val="Sinespaciado"/>
        <w:numPr>
          <w:ilvl w:val="0"/>
          <w:numId w:val="14"/>
        </w:numPr>
        <w:jc w:val="both"/>
        <w:rPr>
          <w:rFonts w:asciiTheme="majorHAnsi" w:eastAsia="AngsanaUPC" w:hAnsiTheme="majorHAnsi" w:cstheme="majorHAnsi"/>
          <w:b/>
          <w:color w:val="000000"/>
          <w:sz w:val="22"/>
          <w:szCs w:val="22"/>
          <w:lang w:bidi="es-CO"/>
        </w:rPr>
      </w:pPr>
      <w:r w:rsidRPr="00D36D01">
        <w:rPr>
          <w:rFonts w:asciiTheme="majorHAnsi" w:hAnsiTheme="majorHAnsi" w:cstheme="majorHAnsi"/>
          <w:color w:val="000000"/>
          <w:sz w:val="22"/>
          <w:szCs w:val="22"/>
        </w:rPr>
        <w:t xml:space="preserve">03/06/2019. M.P. Eugenio Fernández </w:t>
      </w:r>
      <w:proofErr w:type="spellStart"/>
      <w:r w:rsidRPr="00D36D01">
        <w:rPr>
          <w:rFonts w:asciiTheme="majorHAnsi" w:hAnsiTheme="majorHAnsi" w:cstheme="majorHAnsi"/>
          <w:color w:val="000000"/>
          <w:sz w:val="22"/>
          <w:szCs w:val="22"/>
        </w:rPr>
        <w:t>Carlier</w:t>
      </w:r>
      <w:proofErr w:type="spellEnd"/>
      <w:r w:rsidRPr="00D36D01">
        <w:rPr>
          <w:rFonts w:asciiTheme="majorHAnsi" w:hAnsiTheme="majorHAnsi" w:cstheme="majorHAnsi"/>
          <w:color w:val="000000"/>
          <w:sz w:val="22"/>
          <w:szCs w:val="22"/>
        </w:rPr>
        <w:t xml:space="preserve">. Rad. 49430. </w:t>
      </w:r>
      <w:r w:rsidRPr="00D36D01">
        <w:rPr>
          <w:rFonts w:asciiTheme="majorHAnsi" w:hAnsiTheme="majorHAnsi" w:cstheme="majorHAnsi"/>
          <w:b/>
          <w:color w:val="000000"/>
          <w:sz w:val="22"/>
          <w:szCs w:val="22"/>
        </w:rPr>
        <w:t xml:space="preserve">Ministerio Público. Facultades procesales del representante del Ministerio Público. </w:t>
      </w:r>
      <w:r w:rsidRPr="00D36D01">
        <w:rPr>
          <w:rFonts w:asciiTheme="majorHAnsi" w:hAnsiTheme="majorHAnsi" w:cstheme="majorHAnsi"/>
          <w:b/>
          <w:color w:val="000000"/>
          <w:sz w:val="22"/>
          <w:szCs w:val="22"/>
          <w:u w:val="single"/>
        </w:rPr>
        <w:t>El agente del Ministerio Público puede impugnar tanto el fallo condenatorio como el absolutorio.</w:t>
      </w:r>
    </w:p>
    <w:p w14:paraId="656326E9" w14:textId="77777777" w:rsidR="00971866" w:rsidRPr="00D36D01" w:rsidRDefault="00971866" w:rsidP="00971866">
      <w:pPr>
        <w:pStyle w:val="Prrafodelista"/>
        <w:rPr>
          <w:rFonts w:asciiTheme="majorHAnsi" w:hAnsiTheme="majorHAnsi" w:cstheme="majorHAnsi"/>
          <w:color w:val="000000"/>
        </w:rPr>
      </w:pPr>
    </w:p>
    <w:p w14:paraId="7B7714D8" w14:textId="29EBBB74" w:rsidR="00971866" w:rsidRPr="00D36D01" w:rsidRDefault="00971866" w:rsidP="00971866">
      <w:pPr>
        <w:pStyle w:val="Sinespaciado"/>
        <w:numPr>
          <w:ilvl w:val="0"/>
          <w:numId w:val="14"/>
        </w:numPr>
        <w:jc w:val="both"/>
        <w:rPr>
          <w:rFonts w:asciiTheme="majorHAnsi" w:eastAsia="AngsanaUPC" w:hAnsiTheme="majorHAnsi" w:cstheme="majorHAnsi"/>
          <w:b/>
          <w:color w:val="000000"/>
          <w:sz w:val="22"/>
          <w:szCs w:val="22"/>
          <w:lang w:bidi="es-CO"/>
        </w:rPr>
      </w:pPr>
      <w:r w:rsidRPr="00D36D01">
        <w:rPr>
          <w:rFonts w:asciiTheme="majorHAnsi" w:hAnsiTheme="majorHAnsi" w:cstheme="majorHAnsi"/>
          <w:color w:val="000000"/>
          <w:sz w:val="22"/>
          <w:szCs w:val="22"/>
        </w:rPr>
        <w:t xml:space="preserve">14/11/2018. M.P. Patricia Salazar Cuéllar. Rad. 48820. </w:t>
      </w:r>
      <w:r w:rsidRPr="00D36D01">
        <w:rPr>
          <w:rFonts w:asciiTheme="majorHAnsi" w:hAnsiTheme="majorHAnsi" w:cstheme="majorHAnsi"/>
          <w:color w:val="000000"/>
          <w:sz w:val="22"/>
          <w:szCs w:val="22"/>
          <w:u w:val="single"/>
        </w:rPr>
        <w:t xml:space="preserve">Doble conformidad judicial o derecho a impugnar la primera sentencia condenatoria. </w:t>
      </w:r>
      <w:r w:rsidRPr="00D36D01">
        <w:rPr>
          <w:rFonts w:asciiTheme="majorHAnsi" w:hAnsiTheme="majorHAnsi" w:cstheme="majorHAnsi"/>
          <w:b/>
          <w:color w:val="000000"/>
          <w:sz w:val="22"/>
          <w:szCs w:val="22"/>
          <w:u w:val="single"/>
        </w:rPr>
        <w:t>Procedimiento para materializar el derecho cuando la primera sentencia condenatoria se profiere en sede de casación.</w:t>
      </w:r>
    </w:p>
    <w:p w14:paraId="214B6CBD" w14:textId="77777777" w:rsidR="00971866" w:rsidRPr="00D36D01" w:rsidRDefault="00971866" w:rsidP="00DD64B0">
      <w:pPr>
        <w:pStyle w:val="Sinespaciado"/>
        <w:ind w:left="502"/>
        <w:jc w:val="both"/>
        <w:rPr>
          <w:rFonts w:asciiTheme="majorHAnsi" w:eastAsia="AngsanaUPC" w:hAnsiTheme="majorHAnsi" w:cstheme="majorHAnsi"/>
          <w:b/>
          <w:color w:val="000000"/>
          <w:sz w:val="22"/>
          <w:szCs w:val="22"/>
          <w:lang w:bidi="es-CO"/>
        </w:rPr>
      </w:pPr>
    </w:p>
    <w:p w14:paraId="20777101" w14:textId="77777777" w:rsidR="00DD64B0" w:rsidRPr="00D36D01" w:rsidRDefault="00DD64B0" w:rsidP="00DD64B0">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eastAsiaTheme="minorEastAsia" w:hAnsiTheme="majorHAnsi" w:cstheme="majorHAnsi"/>
          <w:lang w:eastAsia="es-ES" w:bidi="es-ES"/>
        </w:rPr>
        <w:t xml:space="preserve">Sentencia de Casación; Expediente No 23567 Corte Suprema de Justicia, Sala de Casación Penal Magistrado Ponente Dra. Marina Pulido de Barón Mayo cuatro (4) de dos mil cinco (2005). </w:t>
      </w:r>
      <w:r w:rsidRPr="00D36D01">
        <w:rPr>
          <w:rFonts w:asciiTheme="majorHAnsi" w:eastAsiaTheme="minorEastAsia" w:hAnsiTheme="majorHAnsi" w:cstheme="majorHAnsi"/>
          <w:b/>
          <w:u w:val="single"/>
          <w:lang w:eastAsia="es-ES" w:bidi="es-ES"/>
        </w:rPr>
        <w:t>Tema: Principio de Favorabilidad / Medidas de aseguramiento en la Ley 906 de 2004.</w:t>
      </w:r>
    </w:p>
    <w:p w14:paraId="2136FB85" w14:textId="77777777" w:rsidR="00DD64B0" w:rsidRPr="00D36D01" w:rsidRDefault="00DD64B0" w:rsidP="00DD64B0">
      <w:pPr>
        <w:pStyle w:val="Prrafodelista"/>
        <w:rPr>
          <w:rFonts w:asciiTheme="majorHAnsi" w:eastAsiaTheme="minorEastAsia" w:hAnsiTheme="majorHAnsi" w:cstheme="majorHAnsi"/>
          <w:color w:val="000000"/>
          <w:lang w:eastAsia="es-ES"/>
        </w:rPr>
      </w:pPr>
    </w:p>
    <w:p w14:paraId="736439EE" w14:textId="77777777" w:rsidR="00DD64B0" w:rsidRPr="00D36D01" w:rsidRDefault="00DD64B0" w:rsidP="00DD64B0">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eastAsiaTheme="minorEastAsia" w:hAnsiTheme="majorHAnsi" w:cstheme="majorHAnsi"/>
          <w:color w:val="000000"/>
          <w:lang w:eastAsia="es-ES"/>
        </w:rPr>
        <w:t xml:space="preserve">24/07/2017. M.P. Eugenio Fernández </w:t>
      </w:r>
      <w:proofErr w:type="spellStart"/>
      <w:r w:rsidRPr="00D36D01">
        <w:rPr>
          <w:rFonts w:asciiTheme="majorHAnsi" w:eastAsiaTheme="minorEastAsia" w:hAnsiTheme="majorHAnsi" w:cstheme="majorHAnsi"/>
          <w:color w:val="000000"/>
          <w:lang w:eastAsia="es-ES"/>
        </w:rPr>
        <w:t>Carlier</w:t>
      </w:r>
      <w:proofErr w:type="spellEnd"/>
      <w:r w:rsidRPr="00D36D01">
        <w:rPr>
          <w:rFonts w:asciiTheme="majorHAnsi" w:eastAsiaTheme="minorEastAsia" w:hAnsiTheme="majorHAnsi" w:cstheme="majorHAnsi"/>
          <w:color w:val="000000"/>
          <w:lang w:eastAsia="es-ES"/>
        </w:rPr>
        <w:t xml:space="preserve">. Rad. 49734. </w:t>
      </w:r>
      <w:r w:rsidRPr="00D36D01">
        <w:rPr>
          <w:rFonts w:asciiTheme="majorHAnsi" w:eastAsiaTheme="minorEastAsia" w:hAnsiTheme="majorHAnsi" w:cstheme="majorHAnsi"/>
          <w:b/>
          <w:color w:val="000000"/>
          <w:lang w:eastAsia="es-ES"/>
        </w:rPr>
        <w:t xml:space="preserve">Régimen de la libertad. Detención Preventiva. </w:t>
      </w:r>
      <w:r w:rsidRPr="00D36D01">
        <w:rPr>
          <w:rFonts w:asciiTheme="majorHAnsi" w:eastAsiaTheme="minorEastAsia" w:hAnsiTheme="majorHAnsi" w:cstheme="majorHAnsi"/>
          <w:b/>
          <w:color w:val="000000"/>
          <w:u w:val="single"/>
          <w:lang w:eastAsia="es-ES"/>
        </w:rPr>
        <w:t xml:space="preserve">Término máximo de la detención preventiva. Este término se contabiliza desde el momento de la aprehensión hasta que se ha anunciado el sentido del fallo. </w:t>
      </w:r>
      <w:r w:rsidRPr="00D36D01">
        <w:rPr>
          <w:rFonts w:asciiTheme="majorHAnsi" w:eastAsiaTheme="minorEastAsia" w:hAnsiTheme="majorHAnsi" w:cstheme="majorHAnsi"/>
          <w:b/>
          <w:color w:val="000000"/>
          <w:lang w:eastAsia="es-ES"/>
        </w:rPr>
        <w:t>Posición contraria a la asumida por la H. Corte Constitucional en sentencia C-221/17.</w:t>
      </w:r>
    </w:p>
    <w:p w14:paraId="670F50E6" w14:textId="77777777" w:rsidR="00DD64B0" w:rsidRPr="00D36D01" w:rsidRDefault="00DD64B0" w:rsidP="00DD64B0">
      <w:pPr>
        <w:pStyle w:val="Prrafodelista"/>
        <w:rPr>
          <w:rFonts w:asciiTheme="majorHAnsi" w:eastAsiaTheme="minorEastAsia" w:hAnsiTheme="majorHAnsi" w:cstheme="majorHAnsi"/>
          <w:color w:val="000000"/>
          <w:lang w:eastAsia="es-ES"/>
        </w:rPr>
      </w:pPr>
    </w:p>
    <w:p w14:paraId="20DF2DC4" w14:textId="77777777" w:rsidR="00DD64B0" w:rsidRPr="00D36D01" w:rsidRDefault="00DD64B0" w:rsidP="00DD64B0">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eastAsiaTheme="minorEastAsia" w:hAnsiTheme="majorHAnsi" w:cstheme="majorHAnsi"/>
          <w:color w:val="000000"/>
          <w:lang w:eastAsia="es-ES"/>
        </w:rPr>
        <w:t xml:space="preserve">18/10/2017. M.P. Patricia Salazar Cuéllar. Rad. 94564. </w:t>
      </w:r>
      <w:r w:rsidRPr="00D36D01">
        <w:rPr>
          <w:rFonts w:asciiTheme="majorHAnsi" w:eastAsiaTheme="minorEastAsia" w:hAnsiTheme="majorHAnsi" w:cstheme="majorHAnsi"/>
          <w:b/>
          <w:color w:val="000000"/>
          <w:lang w:eastAsia="es-ES"/>
        </w:rPr>
        <w:t>Régimen de libertad</w:t>
      </w:r>
      <w:r w:rsidRPr="00D36D01">
        <w:rPr>
          <w:rFonts w:asciiTheme="majorHAnsi" w:eastAsiaTheme="minorEastAsia" w:hAnsiTheme="majorHAnsi" w:cstheme="majorHAnsi"/>
          <w:color w:val="000000"/>
          <w:lang w:eastAsia="es-ES"/>
        </w:rPr>
        <w:t xml:space="preserve">. </w:t>
      </w:r>
      <w:r w:rsidRPr="00D36D01">
        <w:rPr>
          <w:rFonts w:asciiTheme="majorHAnsi" w:eastAsiaTheme="minorEastAsia" w:hAnsiTheme="majorHAnsi" w:cstheme="majorHAnsi"/>
          <w:b/>
          <w:color w:val="000000"/>
          <w:u w:val="single"/>
          <w:lang w:eastAsia="es-ES"/>
        </w:rPr>
        <w:t>Detención preventiva. Término máximo de la detención preventiva consagrado en la Ley 1786.</w:t>
      </w:r>
      <w:r w:rsidRPr="00D36D01">
        <w:rPr>
          <w:rFonts w:asciiTheme="majorHAnsi" w:eastAsiaTheme="minorEastAsia" w:hAnsiTheme="majorHAnsi" w:cstheme="majorHAnsi"/>
          <w:color w:val="000000"/>
          <w:u w:val="single"/>
          <w:lang w:eastAsia="es-ES"/>
        </w:rPr>
        <w:t xml:space="preserve"> </w:t>
      </w:r>
      <w:r w:rsidRPr="00D36D01">
        <w:rPr>
          <w:rFonts w:asciiTheme="majorHAnsi" w:eastAsiaTheme="minorEastAsia" w:hAnsiTheme="majorHAnsi" w:cstheme="majorHAnsi"/>
          <w:b/>
          <w:color w:val="000000"/>
          <w:u w:val="single"/>
          <w:lang w:eastAsia="es-ES"/>
        </w:rPr>
        <w:t>Procedimiento para la prórroga del término máximo de detención preventiva en los eventos que resulta legalmente admisible.</w:t>
      </w:r>
      <w:r w:rsidRPr="00D36D01">
        <w:rPr>
          <w:rFonts w:asciiTheme="majorHAnsi" w:eastAsiaTheme="minorEastAsia" w:hAnsiTheme="majorHAnsi" w:cstheme="majorHAnsi"/>
          <w:color w:val="000000"/>
          <w:u w:val="single"/>
          <w:lang w:eastAsia="es-ES"/>
        </w:rPr>
        <w:t xml:space="preserve"> </w:t>
      </w:r>
    </w:p>
    <w:p w14:paraId="2CEB8382" w14:textId="77777777" w:rsidR="00DD64B0" w:rsidRPr="00D36D01" w:rsidRDefault="00DD64B0" w:rsidP="00DD64B0">
      <w:pPr>
        <w:pStyle w:val="Prrafodelista"/>
        <w:rPr>
          <w:rFonts w:asciiTheme="majorHAnsi" w:eastAsiaTheme="minorEastAsia" w:hAnsiTheme="majorHAnsi" w:cstheme="majorHAnsi"/>
          <w:lang w:eastAsia="es-ES" w:bidi="es-ES"/>
        </w:rPr>
      </w:pPr>
    </w:p>
    <w:p w14:paraId="4DF24052" w14:textId="77777777" w:rsidR="00DD64B0" w:rsidRPr="00D36D01" w:rsidRDefault="00DD64B0" w:rsidP="00DD64B0">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eastAsiaTheme="minorEastAsia" w:hAnsiTheme="majorHAnsi" w:cstheme="majorHAnsi"/>
          <w:lang w:eastAsia="es-ES" w:bidi="es-ES"/>
        </w:rPr>
        <w:t>Corte Suprema de Justicia.</w:t>
      </w:r>
      <w:r w:rsidRPr="00D36D01">
        <w:rPr>
          <w:rFonts w:asciiTheme="majorHAnsi" w:eastAsiaTheme="minorEastAsia" w:hAnsiTheme="majorHAnsi" w:cstheme="majorHAnsi"/>
          <w:lang w:eastAsia="es-ES" w:bidi="es-CO"/>
        </w:rPr>
        <w:t xml:space="preserve"> SP3623-2017. Rad. 48175. M.P.: PATRICIA SALAZAR CUÉLLAR.</w:t>
      </w:r>
      <w:r w:rsidRPr="00D36D01">
        <w:rPr>
          <w:rFonts w:asciiTheme="majorHAnsi" w:eastAsiaTheme="minorEastAsia" w:hAnsiTheme="majorHAnsi" w:cstheme="majorHAnsi"/>
          <w:b/>
          <w:u w:val="single"/>
          <w:lang w:eastAsia="es-ES" w:bidi="es-CO"/>
        </w:rPr>
        <w:t xml:space="preserve"> Tema: Flagrancia en caso de una persona que es individualizada “en la comisión de un delito en un sitio </w:t>
      </w:r>
      <w:r w:rsidRPr="00D36D01">
        <w:rPr>
          <w:rFonts w:asciiTheme="majorHAnsi" w:eastAsiaTheme="minorEastAsia" w:hAnsiTheme="majorHAnsi" w:cstheme="majorHAnsi"/>
          <w:b/>
          <w:u w:val="single"/>
          <w:lang w:eastAsia="es-ES" w:bidi="es-CO"/>
        </w:rPr>
        <w:lastRenderedPageBreak/>
        <w:t>abierto al público a través de la grabación de un dispositivo de video”: “Una cosa es acordar la plena identidad del procesado, y otra muy distinta dar por probado que éste realizó la conducta típica y fue sorprendido en flagrancia por las autoridades”.</w:t>
      </w:r>
    </w:p>
    <w:p w14:paraId="619A5BAF" w14:textId="77777777" w:rsidR="00DD64B0" w:rsidRPr="00D36D01" w:rsidRDefault="00DD64B0" w:rsidP="00DD64B0">
      <w:pPr>
        <w:pStyle w:val="Prrafodelista"/>
        <w:rPr>
          <w:rFonts w:asciiTheme="majorHAnsi" w:eastAsiaTheme="minorEastAsia" w:hAnsiTheme="majorHAnsi" w:cstheme="majorHAnsi"/>
          <w:color w:val="000000"/>
          <w:lang w:eastAsia="es-ES"/>
        </w:rPr>
      </w:pPr>
    </w:p>
    <w:p w14:paraId="79AFE54A" w14:textId="77777777" w:rsidR="00DD64B0" w:rsidRPr="00D36D01" w:rsidRDefault="00DD64B0" w:rsidP="00DD64B0">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eastAsiaTheme="minorEastAsia" w:hAnsiTheme="majorHAnsi" w:cstheme="majorHAnsi"/>
          <w:color w:val="000000"/>
          <w:lang w:eastAsia="es-ES"/>
        </w:rPr>
        <w:t xml:space="preserve">14/03/2018. M.P. Patricia Salazar Cuéllar. Rad. 46848. </w:t>
      </w:r>
      <w:r w:rsidRPr="00D36D01">
        <w:rPr>
          <w:rFonts w:asciiTheme="majorHAnsi" w:eastAsiaTheme="minorEastAsia" w:hAnsiTheme="majorHAnsi" w:cstheme="majorHAnsi"/>
          <w:b/>
          <w:color w:val="000000"/>
          <w:lang w:eastAsia="es-ES"/>
        </w:rPr>
        <w:t>Allanamiento a cargos</w:t>
      </w:r>
      <w:r w:rsidRPr="00D36D01">
        <w:rPr>
          <w:rFonts w:asciiTheme="majorHAnsi" w:eastAsiaTheme="minorEastAsia" w:hAnsiTheme="majorHAnsi" w:cstheme="majorHAnsi"/>
          <w:color w:val="000000"/>
          <w:lang w:eastAsia="es-ES"/>
        </w:rPr>
        <w:t xml:space="preserve">. </w:t>
      </w:r>
      <w:r w:rsidRPr="00D36D01">
        <w:rPr>
          <w:rFonts w:asciiTheme="majorHAnsi" w:eastAsiaTheme="minorEastAsia" w:hAnsiTheme="majorHAnsi" w:cstheme="majorHAnsi"/>
          <w:b/>
          <w:color w:val="000000"/>
          <w:lang w:eastAsia="es-ES"/>
        </w:rPr>
        <w:t xml:space="preserve">Exigencia de un mínimo probatorio. </w:t>
      </w:r>
      <w:r w:rsidRPr="00D36D01">
        <w:rPr>
          <w:rFonts w:asciiTheme="majorHAnsi" w:eastAsiaTheme="minorEastAsia" w:hAnsiTheme="majorHAnsi" w:cstheme="majorHAnsi"/>
          <w:b/>
          <w:color w:val="000000"/>
          <w:u w:val="single"/>
          <w:lang w:eastAsia="es-ES"/>
        </w:rPr>
        <w:t>El Juez de Control de Garantías no puede convalidar el allanamiento si los hechos objeto de la imputación resultan objetivamente atípicos.</w:t>
      </w:r>
    </w:p>
    <w:p w14:paraId="6BFC4C21" w14:textId="77777777" w:rsidR="00DD64B0" w:rsidRPr="00D36D01" w:rsidRDefault="00DD64B0" w:rsidP="00DD64B0">
      <w:pPr>
        <w:pStyle w:val="Prrafodelista"/>
        <w:rPr>
          <w:rFonts w:asciiTheme="majorHAnsi" w:eastAsiaTheme="minorEastAsia" w:hAnsiTheme="majorHAnsi" w:cstheme="majorHAnsi"/>
          <w:lang w:eastAsia="es-ES" w:bidi="es-ES"/>
        </w:rPr>
      </w:pPr>
    </w:p>
    <w:p w14:paraId="4B4404F2" w14:textId="77777777" w:rsidR="005E214E" w:rsidRPr="00D36D01" w:rsidRDefault="00DD64B0" w:rsidP="005E214E">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eastAsiaTheme="minorEastAsia" w:hAnsiTheme="majorHAnsi" w:cstheme="majorHAnsi"/>
          <w:lang w:eastAsia="es-ES" w:bidi="es-ES"/>
        </w:rPr>
        <w:t xml:space="preserve">Corte Suprema de Justicia. Sala de Casación Penal. </w:t>
      </w:r>
      <w:r w:rsidRPr="00D36D01">
        <w:rPr>
          <w:rFonts w:asciiTheme="majorHAnsi" w:eastAsiaTheme="minorEastAsia" w:hAnsiTheme="majorHAnsi" w:cstheme="majorHAnsi"/>
          <w:lang w:eastAsia="es-ES" w:bidi="es-CO"/>
        </w:rPr>
        <w:t xml:space="preserve">SP2042-2019. Rad. 51007. M.P.: PATRICIA SALAZAR CUÉLLAR. Cinco (5) de junio de dos mil diecinueve (2019). </w:t>
      </w:r>
      <w:r w:rsidRPr="00D36D01">
        <w:rPr>
          <w:rFonts w:asciiTheme="majorHAnsi" w:eastAsiaTheme="minorEastAsia" w:hAnsiTheme="majorHAnsi" w:cstheme="majorHAnsi"/>
          <w:b/>
          <w:lang w:eastAsia="es-ES" w:bidi="es-CO"/>
        </w:rPr>
        <w:t xml:space="preserve">TEMA:  </w:t>
      </w:r>
      <w:r w:rsidRPr="00D36D01">
        <w:rPr>
          <w:rFonts w:asciiTheme="majorHAnsi" w:eastAsiaTheme="minorEastAsia" w:hAnsiTheme="majorHAnsi" w:cstheme="majorHAnsi"/>
          <w:b/>
          <w:color w:val="000000"/>
          <w:lang w:eastAsia="es-ES"/>
        </w:rPr>
        <w:t xml:space="preserve">Audiencia de formulación de imputación. Hechos jurídicamente relevantes. Consecuencias que se siguen de imputaciones o acusaciones anfibológicas. Principio de congruencia. </w:t>
      </w:r>
      <w:r w:rsidRPr="00D36D01">
        <w:rPr>
          <w:rFonts w:asciiTheme="majorHAnsi" w:eastAsiaTheme="minorEastAsia" w:hAnsiTheme="majorHAnsi" w:cstheme="majorHAnsi"/>
          <w:b/>
          <w:lang w:eastAsia="es-ES" w:bidi="es-CO"/>
        </w:rPr>
        <w:t>IMPUTACIÓN: “Los jueces no pueden ejercer control material sobre esa actividad, sin perjuicio de las labores de dirección, orientadas a que se cumplan los presupuestos formales del acto comunicacional y a evitar la tergiversación del objeto de la audiencia”.</w:t>
      </w:r>
    </w:p>
    <w:p w14:paraId="0B7E9CD9" w14:textId="77777777" w:rsidR="005E214E" w:rsidRPr="00D36D01" w:rsidRDefault="005E214E" w:rsidP="005E214E">
      <w:pPr>
        <w:pStyle w:val="Prrafodelista"/>
        <w:rPr>
          <w:rFonts w:asciiTheme="majorHAnsi" w:eastAsiaTheme="minorEastAsia" w:hAnsiTheme="majorHAnsi" w:cstheme="majorHAnsi"/>
          <w:color w:val="000000"/>
          <w:lang w:eastAsia="es-ES"/>
        </w:rPr>
      </w:pPr>
    </w:p>
    <w:p w14:paraId="51CDD819" w14:textId="77777777" w:rsidR="005E214E" w:rsidRPr="00D36D01" w:rsidRDefault="005E214E" w:rsidP="005E214E">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eastAsiaTheme="minorEastAsia" w:hAnsiTheme="majorHAnsi" w:cstheme="majorHAnsi"/>
          <w:color w:val="000000"/>
          <w:lang w:eastAsia="es-ES"/>
        </w:rPr>
        <w:t xml:space="preserve">21/02/2007. M.P. Javier Zapata Ortiz. Rad. 25920. </w:t>
      </w:r>
      <w:r w:rsidRPr="00D36D01">
        <w:rPr>
          <w:rFonts w:asciiTheme="majorHAnsi" w:eastAsiaTheme="minorEastAsia" w:hAnsiTheme="majorHAnsi" w:cstheme="majorHAnsi"/>
          <w:b/>
          <w:color w:val="000000"/>
          <w:lang w:eastAsia="es-ES"/>
        </w:rPr>
        <w:t>Descubrimiento probatorio. Formas y escenarios procesales en los que se surte.</w:t>
      </w:r>
    </w:p>
    <w:p w14:paraId="60E8284C" w14:textId="77777777" w:rsidR="005E214E" w:rsidRPr="00D36D01" w:rsidRDefault="005E214E" w:rsidP="005E214E">
      <w:pPr>
        <w:pStyle w:val="Prrafodelista"/>
        <w:rPr>
          <w:rFonts w:asciiTheme="majorHAnsi" w:eastAsiaTheme="minorEastAsia" w:hAnsiTheme="majorHAnsi" w:cstheme="majorHAnsi"/>
          <w:lang w:eastAsia="es-ES" w:bidi="es-ES"/>
        </w:rPr>
      </w:pPr>
    </w:p>
    <w:p w14:paraId="0995272F" w14:textId="77777777" w:rsidR="005E214E" w:rsidRPr="00D36D01" w:rsidRDefault="005E214E" w:rsidP="005E214E">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eastAsiaTheme="minorEastAsia" w:hAnsiTheme="majorHAnsi" w:cstheme="majorHAnsi"/>
          <w:lang w:eastAsia="es-ES" w:bidi="es-ES"/>
        </w:rPr>
        <w:t xml:space="preserve">Corte Suprema de Justicia Sala de Casación Penal. Sentencia del 14 de febrero de 2002. Rad: 18457  Magistrado Ponente: Dr. JORGE E. CÓRDOBA POVEDA febrero 14 de 2002 </w:t>
      </w:r>
      <w:r w:rsidRPr="00D36D01">
        <w:rPr>
          <w:rFonts w:asciiTheme="majorHAnsi" w:eastAsiaTheme="minorEastAsia" w:hAnsiTheme="majorHAnsi" w:cstheme="majorHAnsi"/>
          <w:b/>
          <w:lang w:eastAsia="es-ES" w:bidi="es-ES"/>
        </w:rPr>
        <w:t>Tema: Variación de la calificación jurídica provisional en la ley 600 de 2000.</w:t>
      </w:r>
    </w:p>
    <w:p w14:paraId="3A0CE1C2" w14:textId="77777777" w:rsidR="005E214E" w:rsidRPr="00D36D01" w:rsidRDefault="005E214E" w:rsidP="005E214E">
      <w:pPr>
        <w:pStyle w:val="Prrafodelista"/>
        <w:rPr>
          <w:rFonts w:asciiTheme="majorHAnsi" w:eastAsiaTheme="minorEastAsia" w:hAnsiTheme="majorHAnsi" w:cstheme="majorHAnsi"/>
          <w:color w:val="000000"/>
          <w:lang w:eastAsia="es-ES"/>
        </w:rPr>
      </w:pPr>
    </w:p>
    <w:p w14:paraId="184D4D36" w14:textId="77777777" w:rsidR="005E214E" w:rsidRPr="00D36D01" w:rsidRDefault="005E214E" w:rsidP="005E214E">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eastAsiaTheme="minorEastAsia" w:hAnsiTheme="majorHAnsi" w:cstheme="majorHAnsi"/>
          <w:color w:val="000000"/>
          <w:lang w:eastAsia="es-ES"/>
        </w:rPr>
        <w:t xml:space="preserve">11/02/2015. M.P. José </w:t>
      </w:r>
      <w:proofErr w:type="spellStart"/>
      <w:r w:rsidRPr="00D36D01">
        <w:rPr>
          <w:rFonts w:asciiTheme="majorHAnsi" w:eastAsiaTheme="minorEastAsia" w:hAnsiTheme="majorHAnsi" w:cstheme="majorHAnsi"/>
          <w:color w:val="000000"/>
          <w:lang w:eastAsia="es-ES"/>
        </w:rPr>
        <w:t>Leonidas</w:t>
      </w:r>
      <w:proofErr w:type="spellEnd"/>
      <w:r w:rsidRPr="00D36D01">
        <w:rPr>
          <w:rFonts w:asciiTheme="majorHAnsi" w:eastAsiaTheme="minorEastAsia" w:hAnsiTheme="majorHAnsi" w:cstheme="majorHAnsi"/>
          <w:color w:val="000000"/>
          <w:lang w:eastAsia="es-ES"/>
        </w:rPr>
        <w:t xml:space="preserve"> Bustos </w:t>
      </w:r>
      <w:proofErr w:type="spellStart"/>
      <w:r w:rsidRPr="00D36D01">
        <w:rPr>
          <w:rFonts w:asciiTheme="majorHAnsi" w:eastAsiaTheme="minorEastAsia" w:hAnsiTheme="majorHAnsi" w:cstheme="majorHAnsi"/>
          <w:color w:val="000000"/>
          <w:lang w:eastAsia="es-ES"/>
        </w:rPr>
        <w:t>Bustos</w:t>
      </w:r>
      <w:proofErr w:type="spellEnd"/>
      <w:r w:rsidRPr="00D36D01">
        <w:rPr>
          <w:rFonts w:asciiTheme="majorHAnsi" w:eastAsiaTheme="minorEastAsia" w:hAnsiTheme="majorHAnsi" w:cstheme="majorHAnsi"/>
          <w:color w:val="000000"/>
          <w:lang w:eastAsia="es-ES"/>
        </w:rPr>
        <w:t xml:space="preserve"> Martínez. Rad. 39894. </w:t>
      </w:r>
      <w:r w:rsidRPr="00D36D01">
        <w:rPr>
          <w:rFonts w:asciiTheme="majorHAnsi" w:eastAsiaTheme="minorEastAsia" w:hAnsiTheme="majorHAnsi" w:cstheme="majorHAnsi"/>
          <w:color w:val="000000"/>
          <w:u w:val="single"/>
          <w:lang w:eastAsia="es-ES"/>
        </w:rPr>
        <w:t xml:space="preserve">Audiencia de formulación de acusación. </w:t>
      </w:r>
      <w:r w:rsidRPr="00D36D01">
        <w:rPr>
          <w:rFonts w:asciiTheme="majorHAnsi" w:eastAsiaTheme="minorEastAsia" w:hAnsiTheme="majorHAnsi" w:cstheme="majorHAnsi"/>
          <w:b/>
          <w:color w:val="000000"/>
          <w:u w:val="single"/>
          <w:lang w:eastAsia="es-ES"/>
        </w:rPr>
        <w:t>Escrito de acusación</w:t>
      </w:r>
      <w:r w:rsidRPr="00D36D01">
        <w:rPr>
          <w:rFonts w:asciiTheme="majorHAnsi" w:eastAsiaTheme="minorEastAsia" w:hAnsiTheme="majorHAnsi" w:cstheme="majorHAnsi"/>
          <w:color w:val="000000"/>
          <w:u w:val="single"/>
          <w:lang w:eastAsia="es-ES"/>
        </w:rPr>
        <w:t xml:space="preserve">. </w:t>
      </w:r>
      <w:r w:rsidRPr="00D36D01">
        <w:rPr>
          <w:rFonts w:asciiTheme="majorHAnsi" w:eastAsiaTheme="minorEastAsia" w:hAnsiTheme="majorHAnsi" w:cstheme="majorHAnsi"/>
          <w:b/>
          <w:color w:val="000000"/>
          <w:u w:val="single"/>
          <w:lang w:eastAsia="es-ES"/>
        </w:rPr>
        <w:t>No resulta procedente la reforma del escrito durante la audiencia para suprimir uno de los cargos, en este evento debe procederse a la preclusión de la investigación.</w:t>
      </w:r>
    </w:p>
    <w:p w14:paraId="6897D5EC" w14:textId="77777777" w:rsidR="005E214E" w:rsidRPr="00D36D01" w:rsidRDefault="005E214E" w:rsidP="005E214E">
      <w:pPr>
        <w:pStyle w:val="Prrafodelista"/>
        <w:rPr>
          <w:rFonts w:asciiTheme="majorHAnsi" w:eastAsiaTheme="minorEastAsia" w:hAnsiTheme="majorHAnsi" w:cstheme="majorHAnsi"/>
          <w:color w:val="000000"/>
          <w:lang w:eastAsia="es-ES"/>
        </w:rPr>
      </w:pPr>
    </w:p>
    <w:p w14:paraId="1DCC5020" w14:textId="77777777" w:rsidR="005E214E" w:rsidRPr="00D36D01" w:rsidRDefault="005E214E" w:rsidP="005E214E">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eastAsiaTheme="minorEastAsia" w:hAnsiTheme="majorHAnsi" w:cstheme="majorHAnsi"/>
          <w:color w:val="000000"/>
          <w:lang w:eastAsia="es-ES"/>
        </w:rPr>
        <w:t xml:space="preserve">03/04/2019. M.P. Patricia Salazar Cuéllar. Rad. 52316. </w:t>
      </w:r>
      <w:r w:rsidRPr="00D36D01">
        <w:rPr>
          <w:rFonts w:asciiTheme="majorHAnsi" w:eastAsiaTheme="minorEastAsia" w:hAnsiTheme="majorHAnsi" w:cstheme="majorHAnsi"/>
          <w:b/>
          <w:color w:val="000000"/>
          <w:lang w:eastAsia="es-ES"/>
        </w:rPr>
        <w:t>Audiencia de formulación de acusación. Desarrollo.</w:t>
      </w:r>
      <w:r w:rsidRPr="00D36D01">
        <w:rPr>
          <w:rFonts w:asciiTheme="majorHAnsi" w:eastAsiaTheme="minorEastAsia" w:hAnsiTheme="majorHAnsi" w:cstheme="majorHAnsi"/>
          <w:color w:val="000000"/>
          <w:lang w:eastAsia="es-ES"/>
        </w:rPr>
        <w:t xml:space="preserve"> </w:t>
      </w:r>
      <w:r w:rsidRPr="00D36D01">
        <w:rPr>
          <w:rFonts w:asciiTheme="majorHAnsi" w:eastAsiaTheme="minorEastAsia" w:hAnsiTheme="majorHAnsi" w:cstheme="majorHAnsi"/>
          <w:b/>
          <w:color w:val="000000"/>
          <w:u w:val="single"/>
          <w:lang w:eastAsia="es-ES"/>
        </w:rPr>
        <w:t>En la audiencia pueden corregirse los cargos cuando el fiscal advierta, oficiosamente, un yerro en la calificación jurídica</w:t>
      </w:r>
      <w:r w:rsidRPr="00D36D01">
        <w:rPr>
          <w:rFonts w:asciiTheme="majorHAnsi" w:eastAsiaTheme="minorEastAsia" w:hAnsiTheme="majorHAnsi" w:cstheme="majorHAnsi"/>
          <w:color w:val="000000"/>
          <w:lang w:eastAsia="es-ES"/>
        </w:rPr>
        <w:t xml:space="preserve">. </w:t>
      </w:r>
      <w:r w:rsidRPr="00D36D01">
        <w:rPr>
          <w:rFonts w:asciiTheme="majorHAnsi" w:eastAsiaTheme="minorEastAsia" w:hAnsiTheme="majorHAnsi" w:cstheme="majorHAnsi"/>
          <w:b/>
          <w:color w:val="000000"/>
          <w:u w:val="single"/>
          <w:lang w:eastAsia="es-ES"/>
        </w:rPr>
        <w:t>Allanamiento a cargos. Posibilidad de allanarse frente a la calificación jurídica corregida.</w:t>
      </w:r>
    </w:p>
    <w:p w14:paraId="422AAFC5" w14:textId="77777777" w:rsidR="005E214E" w:rsidRPr="00D36D01" w:rsidRDefault="005E214E" w:rsidP="005E214E">
      <w:pPr>
        <w:pStyle w:val="Prrafodelista"/>
        <w:rPr>
          <w:rFonts w:asciiTheme="majorHAnsi" w:eastAsiaTheme="minorEastAsia" w:hAnsiTheme="majorHAnsi" w:cstheme="majorHAnsi"/>
          <w:color w:val="000000"/>
          <w:lang w:eastAsia="es-ES"/>
        </w:rPr>
      </w:pPr>
    </w:p>
    <w:p w14:paraId="1D4F1861" w14:textId="77777777" w:rsidR="002A3846" w:rsidRPr="00D36D01" w:rsidRDefault="005E214E" w:rsidP="002A3846">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eastAsiaTheme="minorEastAsia" w:hAnsiTheme="majorHAnsi" w:cstheme="majorHAnsi"/>
          <w:color w:val="000000"/>
          <w:lang w:eastAsia="es-ES"/>
        </w:rPr>
        <w:t xml:space="preserve">29/04/2019. M.P. Eugenio Fernández </w:t>
      </w:r>
      <w:proofErr w:type="spellStart"/>
      <w:r w:rsidRPr="00D36D01">
        <w:rPr>
          <w:rFonts w:asciiTheme="majorHAnsi" w:eastAsiaTheme="minorEastAsia" w:hAnsiTheme="majorHAnsi" w:cstheme="majorHAnsi"/>
          <w:color w:val="000000"/>
          <w:lang w:eastAsia="es-ES"/>
        </w:rPr>
        <w:t>Carlier</w:t>
      </w:r>
      <w:proofErr w:type="spellEnd"/>
      <w:r w:rsidRPr="00D36D01">
        <w:rPr>
          <w:rFonts w:asciiTheme="majorHAnsi" w:eastAsiaTheme="minorEastAsia" w:hAnsiTheme="majorHAnsi" w:cstheme="majorHAnsi"/>
          <w:color w:val="000000"/>
          <w:lang w:eastAsia="es-ES"/>
        </w:rPr>
        <w:t xml:space="preserve">. Rad. 43211. </w:t>
      </w:r>
      <w:r w:rsidRPr="00D36D01">
        <w:rPr>
          <w:rFonts w:asciiTheme="majorHAnsi" w:eastAsiaTheme="minorEastAsia" w:hAnsiTheme="majorHAnsi" w:cstheme="majorHAnsi"/>
          <w:b/>
          <w:color w:val="000000"/>
          <w:lang w:eastAsia="es-ES"/>
        </w:rPr>
        <w:t xml:space="preserve">Formulación de imputación. Principio de congruencia. </w:t>
      </w:r>
      <w:r w:rsidRPr="00D36D01">
        <w:rPr>
          <w:rFonts w:asciiTheme="majorHAnsi" w:eastAsiaTheme="minorEastAsia" w:hAnsiTheme="majorHAnsi" w:cstheme="majorHAnsi"/>
          <w:b/>
          <w:color w:val="000000"/>
          <w:u w:val="single"/>
          <w:lang w:eastAsia="es-ES"/>
        </w:rPr>
        <w:t>El surgimiento de hechos nuevos con aptitud para modificar la calificación jurídica, demanda la ampliación del acto de imputación.</w:t>
      </w:r>
    </w:p>
    <w:p w14:paraId="7E66F323" w14:textId="77777777" w:rsidR="002A3846" w:rsidRPr="00D36D01" w:rsidRDefault="002A3846" w:rsidP="002A3846">
      <w:pPr>
        <w:pStyle w:val="Prrafodelista"/>
        <w:rPr>
          <w:rFonts w:asciiTheme="majorHAnsi" w:hAnsiTheme="majorHAnsi" w:cstheme="majorHAnsi"/>
          <w:color w:val="000000"/>
          <w:lang w:bidi="es-ES"/>
        </w:rPr>
      </w:pPr>
    </w:p>
    <w:p w14:paraId="0D422264" w14:textId="77777777" w:rsidR="002A3846" w:rsidRPr="00D36D01" w:rsidRDefault="002A3846" w:rsidP="002A3846">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hAnsiTheme="majorHAnsi" w:cstheme="majorHAnsi"/>
          <w:color w:val="000000"/>
          <w:lang w:bidi="es-ES"/>
        </w:rPr>
        <w:t>Sentencia de Casación; Expediente; 21954 Corte Suprema de Justicia, Sala de Casación Penal.</w:t>
      </w:r>
      <w:r w:rsidRPr="00D36D01">
        <w:rPr>
          <w:rFonts w:asciiTheme="majorHAnsi" w:hAnsiTheme="majorHAnsi" w:cstheme="majorHAnsi"/>
          <w:b/>
          <w:color w:val="000000"/>
          <w:lang w:bidi="es-ES"/>
        </w:rPr>
        <w:t xml:space="preserve"> </w:t>
      </w:r>
      <w:r w:rsidRPr="00D36D01">
        <w:rPr>
          <w:rFonts w:asciiTheme="majorHAnsi" w:hAnsiTheme="majorHAnsi" w:cstheme="majorHAnsi"/>
          <w:b/>
          <w:color w:val="000000"/>
          <w:u w:val="single"/>
          <w:lang w:bidi="es-ES"/>
        </w:rPr>
        <w:t xml:space="preserve">Magistrado Ponente: Dr. Jorge Luía Quintero Mil unes Veintitrés (23) de agosto de dos mil cinco </w:t>
      </w:r>
      <w:r w:rsidRPr="00D36D01">
        <w:rPr>
          <w:rFonts w:asciiTheme="majorHAnsi" w:hAnsiTheme="majorHAnsi" w:cstheme="majorHAnsi"/>
          <w:b/>
          <w:color w:val="000000"/>
          <w:u w:val="single"/>
          <w:lang w:bidi="es-ES"/>
        </w:rPr>
        <w:lastRenderedPageBreak/>
        <w:t xml:space="preserve">2005, Tema: Principio de Favorabilidad </w:t>
      </w:r>
      <w:r w:rsidRPr="00D36D01">
        <w:rPr>
          <w:rFonts w:asciiTheme="majorHAnsi" w:hAnsiTheme="majorHAnsi" w:cstheme="majorHAnsi"/>
          <w:b/>
          <w:i/>
          <w:iCs/>
          <w:color w:val="000000"/>
          <w:u w:val="single"/>
          <w:lang w:bidi="es-ES"/>
        </w:rPr>
        <w:t>/</w:t>
      </w:r>
      <w:r w:rsidRPr="00D36D01">
        <w:rPr>
          <w:rFonts w:asciiTheme="majorHAnsi" w:hAnsiTheme="majorHAnsi" w:cstheme="majorHAnsi"/>
          <w:b/>
          <w:color w:val="000000"/>
          <w:u w:val="single"/>
          <w:lang w:bidi="es-ES"/>
        </w:rPr>
        <w:t xml:space="preserve"> Aceptación de Cargos - naturaleza-/ Preacuerdos y Negociaciones</w:t>
      </w:r>
    </w:p>
    <w:p w14:paraId="3D2E0C21" w14:textId="77777777" w:rsidR="002A3846" w:rsidRPr="00D36D01" w:rsidRDefault="002A3846" w:rsidP="002A3846">
      <w:pPr>
        <w:pStyle w:val="Prrafodelista"/>
        <w:rPr>
          <w:rFonts w:asciiTheme="majorHAnsi" w:hAnsiTheme="majorHAnsi" w:cstheme="majorHAnsi"/>
          <w:color w:val="000000"/>
          <w:lang w:bidi="es-ES"/>
        </w:rPr>
      </w:pPr>
    </w:p>
    <w:p w14:paraId="52AA83C7" w14:textId="77777777" w:rsidR="002A3846" w:rsidRPr="00D36D01" w:rsidRDefault="002A3846" w:rsidP="002A3846">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hAnsiTheme="majorHAnsi" w:cstheme="majorHAnsi"/>
          <w:color w:val="000000"/>
          <w:lang w:bidi="es-ES"/>
        </w:rPr>
        <w:t xml:space="preserve">Sentencia de Casación; Expediente No 24026 Corte Suprema de Justicia, Sala de Casación Penal Magistrado Ponente: Dr. Mauro Solarte Portilla Veinte (20) de octubre de dos mil cinco (2005). </w:t>
      </w:r>
      <w:r w:rsidRPr="00D36D01">
        <w:rPr>
          <w:rFonts w:asciiTheme="majorHAnsi" w:hAnsiTheme="majorHAnsi" w:cstheme="majorHAnsi"/>
          <w:b/>
          <w:color w:val="000000"/>
          <w:u w:val="single"/>
          <w:lang w:bidi="es-ES"/>
        </w:rPr>
        <w:t>Tema: Procedencia del recurso extraordinario de Casación frente a sentencias resultado de la aceptación de cargos / Alcance del principio de congruencia en el proceso abreviado.</w:t>
      </w:r>
    </w:p>
    <w:p w14:paraId="728E4048" w14:textId="77777777" w:rsidR="002A3846" w:rsidRPr="00D36D01" w:rsidRDefault="002A3846" w:rsidP="002A3846">
      <w:pPr>
        <w:pStyle w:val="Prrafodelista"/>
        <w:rPr>
          <w:rFonts w:asciiTheme="majorHAnsi" w:hAnsiTheme="majorHAnsi" w:cstheme="majorHAnsi"/>
          <w:color w:val="000000"/>
        </w:rPr>
      </w:pPr>
    </w:p>
    <w:p w14:paraId="58EABE6A" w14:textId="77777777" w:rsidR="002A3846" w:rsidRPr="00D36D01" w:rsidRDefault="002A3846" w:rsidP="002A3846">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hAnsiTheme="majorHAnsi" w:cstheme="majorHAnsi"/>
          <w:color w:val="000000"/>
        </w:rPr>
        <w:t xml:space="preserve">10/05/2006. M.P. Javier Zapata Ortiz. Rad. 25389. </w:t>
      </w:r>
      <w:r w:rsidRPr="00D36D01">
        <w:rPr>
          <w:rFonts w:asciiTheme="majorHAnsi" w:hAnsiTheme="majorHAnsi" w:cstheme="majorHAnsi"/>
          <w:b/>
          <w:color w:val="000000"/>
        </w:rPr>
        <w:t>Preacuerdos y negociaciones. Objeto del preacuerdo.</w:t>
      </w:r>
    </w:p>
    <w:p w14:paraId="4097BE27" w14:textId="77777777" w:rsidR="002A3846" w:rsidRPr="00D36D01" w:rsidRDefault="002A3846" w:rsidP="002A3846">
      <w:pPr>
        <w:pStyle w:val="Prrafodelista"/>
        <w:rPr>
          <w:rFonts w:asciiTheme="majorHAnsi" w:hAnsiTheme="majorHAnsi" w:cstheme="majorHAnsi"/>
        </w:rPr>
      </w:pPr>
    </w:p>
    <w:p w14:paraId="426B6407" w14:textId="61FDA752" w:rsidR="002A3846" w:rsidRPr="00D36D01" w:rsidRDefault="002A3846" w:rsidP="002A3846">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hAnsiTheme="majorHAnsi" w:cstheme="majorHAnsi"/>
        </w:rPr>
        <w:t xml:space="preserve">27/09/2017. M.P. </w:t>
      </w:r>
      <w:r w:rsidR="001526B5" w:rsidRPr="00D36D01">
        <w:rPr>
          <w:rFonts w:asciiTheme="majorHAnsi" w:hAnsiTheme="majorHAnsi" w:cstheme="majorHAnsi"/>
        </w:rPr>
        <w:t>José Francisco Acuña Vizcaya</w:t>
      </w:r>
      <w:r w:rsidRPr="00D36D01">
        <w:rPr>
          <w:rFonts w:asciiTheme="majorHAnsi" w:hAnsiTheme="majorHAnsi" w:cstheme="majorHAnsi"/>
        </w:rPr>
        <w:t xml:space="preserve">. Rad. </w:t>
      </w:r>
      <w:r w:rsidRPr="00D36D01">
        <w:rPr>
          <w:rFonts w:asciiTheme="majorHAnsi" w:hAnsiTheme="majorHAnsi" w:cstheme="majorHAnsi"/>
          <w:color w:val="000000"/>
          <w:spacing w:val="-3"/>
        </w:rPr>
        <w:t xml:space="preserve">39831. </w:t>
      </w:r>
      <w:r w:rsidRPr="00D36D01">
        <w:rPr>
          <w:rFonts w:asciiTheme="majorHAnsi" w:hAnsiTheme="majorHAnsi" w:cstheme="majorHAnsi"/>
          <w:b/>
          <w:color w:val="000000"/>
          <w:spacing w:val="-3"/>
        </w:rPr>
        <w:t>Tema: Sobre la aplicación del requisito del artículo 349 de la ley 906 de 2004 al allanamiento.</w:t>
      </w:r>
    </w:p>
    <w:p w14:paraId="6D9495E0" w14:textId="77777777" w:rsidR="001420BC" w:rsidRPr="00D36D01" w:rsidRDefault="001420BC" w:rsidP="001420BC">
      <w:pPr>
        <w:pStyle w:val="Sinespaciado"/>
        <w:numPr>
          <w:ilvl w:val="0"/>
          <w:numId w:val="14"/>
        </w:numPr>
        <w:jc w:val="both"/>
        <w:rPr>
          <w:rFonts w:asciiTheme="majorHAnsi" w:hAnsiTheme="majorHAnsi" w:cstheme="majorHAnsi"/>
          <w:b/>
          <w:color w:val="000000"/>
          <w:sz w:val="22"/>
          <w:szCs w:val="22"/>
        </w:rPr>
      </w:pPr>
      <w:r w:rsidRPr="00D36D01">
        <w:rPr>
          <w:rFonts w:asciiTheme="majorHAnsi" w:hAnsiTheme="majorHAnsi" w:cstheme="majorHAnsi"/>
          <w:color w:val="000000"/>
          <w:sz w:val="22"/>
          <w:szCs w:val="22"/>
        </w:rPr>
        <w:t xml:space="preserve">29/06/2007M.P. Sigifredo Espinosa Pérez. Rad. 27608. </w:t>
      </w:r>
      <w:r w:rsidRPr="00D36D01">
        <w:rPr>
          <w:rFonts w:asciiTheme="majorHAnsi" w:hAnsiTheme="majorHAnsi" w:cstheme="majorHAnsi"/>
          <w:b/>
          <w:color w:val="000000"/>
          <w:sz w:val="22"/>
          <w:szCs w:val="22"/>
        </w:rPr>
        <w:t>Audiencia preparatoria</w:t>
      </w:r>
      <w:r w:rsidRPr="00D36D01">
        <w:rPr>
          <w:rFonts w:asciiTheme="majorHAnsi" w:hAnsiTheme="majorHAnsi" w:cstheme="majorHAnsi"/>
          <w:color w:val="000000"/>
          <w:sz w:val="22"/>
          <w:szCs w:val="22"/>
        </w:rPr>
        <w:t xml:space="preserve">. </w:t>
      </w:r>
      <w:r w:rsidRPr="00D36D01">
        <w:rPr>
          <w:rFonts w:asciiTheme="majorHAnsi" w:hAnsiTheme="majorHAnsi" w:cstheme="majorHAnsi"/>
          <w:b/>
          <w:color w:val="000000"/>
          <w:sz w:val="22"/>
          <w:szCs w:val="22"/>
        </w:rPr>
        <w:t>Desarrollo.</w:t>
      </w:r>
    </w:p>
    <w:p w14:paraId="410AD928" w14:textId="77777777" w:rsidR="003B2B1A" w:rsidRPr="00D36D01" w:rsidRDefault="003B2B1A" w:rsidP="003B2B1A">
      <w:pPr>
        <w:pStyle w:val="Prrafodelista"/>
        <w:ind w:left="502"/>
        <w:jc w:val="both"/>
        <w:rPr>
          <w:rFonts w:asciiTheme="majorHAnsi" w:eastAsiaTheme="minorEastAsia" w:hAnsiTheme="majorHAnsi" w:cstheme="majorHAnsi"/>
          <w:b/>
          <w:u w:val="single"/>
          <w:lang w:eastAsia="es-ES" w:bidi="es-ES"/>
        </w:rPr>
      </w:pPr>
    </w:p>
    <w:p w14:paraId="7DB3BC16" w14:textId="0587AD2A" w:rsidR="002A3846" w:rsidRPr="00D36D01" w:rsidRDefault="001420BC" w:rsidP="001420BC">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hAnsiTheme="majorHAnsi" w:cstheme="majorHAnsi"/>
          <w:color w:val="000000"/>
        </w:rPr>
        <w:t xml:space="preserve">15/06/2016M.P. José Luís Barceló Camacho. Rad. 47666. </w:t>
      </w:r>
      <w:r w:rsidRPr="00D36D01">
        <w:rPr>
          <w:rFonts w:asciiTheme="majorHAnsi" w:hAnsiTheme="majorHAnsi" w:cstheme="majorHAnsi"/>
          <w:b/>
          <w:color w:val="000000"/>
        </w:rPr>
        <w:t>Estipulaciones probatorias.</w:t>
      </w:r>
    </w:p>
    <w:p w14:paraId="391B9768" w14:textId="77777777" w:rsidR="003B2B1A" w:rsidRPr="00D36D01" w:rsidRDefault="003B2B1A" w:rsidP="003B2B1A">
      <w:pPr>
        <w:pStyle w:val="Prrafodelista"/>
        <w:ind w:left="502"/>
        <w:jc w:val="both"/>
        <w:rPr>
          <w:rFonts w:asciiTheme="majorHAnsi" w:hAnsiTheme="majorHAnsi" w:cstheme="majorHAnsi"/>
          <w:b/>
        </w:rPr>
      </w:pPr>
    </w:p>
    <w:p w14:paraId="5D07B324" w14:textId="5839B683" w:rsidR="005C07D9" w:rsidRPr="00D36D01" w:rsidRDefault="005C07D9" w:rsidP="005C07D9">
      <w:pPr>
        <w:pStyle w:val="Prrafodelista"/>
        <w:numPr>
          <w:ilvl w:val="0"/>
          <w:numId w:val="14"/>
        </w:numPr>
        <w:jc w:val="both"/>
        <w:rPr>
          <w:rFonts w:asciiTheme="majorHAnsi" w:hAnsiTheme="majorHAnsi" w:cstheme="majorHAnsi"/>
          <w:b/>
        </w:rPr>
      </w:pPr>
      <w:r w:rsidRPr="00D36D01">
        <w:rPr>
          <w:rFonts w:asciiTheme="majorHAnsi" w:hAnsiTheme="majorHAnsi" w:cstheme="majorHAnsi"/>
        </w:rPr>
        <w:t xml:space="preserve">05/12/2018. M.P. Fernando Alberto Castro Caballero. AP5266-2018/ 52535. </w:t>
      </w:r>
      <w:r w:rsidRPr="00D36D01">
        <w:rPr>
          <w:rFonts w:asciiTheme="majorHAnsi" w:hAnsiTheme="majorHAnsi" w:cstheme="majorHAnsi"/>
          <w:b/>
        </w:rPr>
        <w:t>Procedimiento penal abreviado. Principio de favorabilidad. Allanamiento a cargos. Las disposiciones favorables previstas en el procedimiento penal abreviado para el allanamiento en caso de flagrancia sólo operan en el proceso ordinario si se enjuician conductas susceptibles de ser procesadas conforme al trámite abreviado.</w:t>
      </w:r>
    </w:p>
    <w:p w14:paraId="0B705DE6" w14:textId="77777777" w:rsidR="005C07D9" w:rsidRPr="00D36D01" w:rsidRDefault="005C07D9" w:rsidP="003B2B1A">
      <w:pPr>
        <w:pStyle w:val="Prrafodelista"/>
        <w:ind w:left="502"/>
        <w:jc w:val="both"/>
        <w:rPr>
          <w:rFonts w:asciiTheme="majorHAnsi" w:hAnsiTheme="majorHAnsi" w:cstheme="majorHAnsi"/>
          <w:b/>
        </w:rPr>
      </w:pPr>
    </w:p>
    <w:p w14:paraId="70CEF0A8" w14:textId="77777777" w:rsidR="005C07D9" w:rsidRPr="00D36D01" w:rsidRDefault="005C07D9" w:rsidP="005C07D9">
      <w:pPr>
        <w:pStyle w:val="Prrafodelista"/>
        <w:numPr>
          <w:ilvl w:val="0"/>
          <w:numId w:val="14"/>
        </w:numPr>
        <w:jc w:val="both"/>
        <w:rPr>
          <w:rFonts w:asciiTheme="majorHAnsi" w:hAnsiTheme="majorHAnsi" w:cstheme="majorHAnsi"/>
          <w:b/>
          <w:u w:val="single"/>
        </w:rPr>
      </w:pPr>
      <w:r w:rsidRPr="00D36D01">
        <w:rPr>
          <w:rFonts w:asciiTheme="majorHAnsi" w:hAnsiTheme="majorHAnsi" w:cstheme="majorHAnsi"/>
          <w:color w:val="000000"/>
        </w:rPr>
        <w:t xml:space="preserve">06/03/2019. M.P. José Luís Barceló Camacho. Rad. 54455. Procedimiento penal abreviado. </w:t>
      </w:r>
      <w:r w:rsidRPr="00D36D01">
        <w:rPr>
          <w:rFonts w:asciiTheme="majorHAnsi" w:hAnsiTheme="majorHAnsi" w:cstheme="majorHAnsi"/>
          <w:b/>
          <w:color w:val="000000"/>
        </w:rPr>
        <w:t>Se aplica al enjuiciamiento de menores de edad,</w:t>
      </w:r>
      <w:r w:rsidRPr="00D36D01">
        <w:rPr>
          <w:rFonts w:asciiTheme="majorHAnsi" w:hAnsiTheme="majorHAnsi" w:cstheme="majorHAnsi"/>
          <w:color w:val="000000"/>
        </w:rPr>
        <w:t xml:space="preserve"> en concordancia con la Ley 1098.</w:t>
      </w:r>
    </w:p>
    <w:p w14:paraId="4DF34E66" w14:textId="77777777" w:rsidR="005C07D9" w:rsidRPr="00D36D01" w:rsidRDefault="005C07D9" w:rsidP="003B2B1A">
      <w:pPr>
        <w:pStyle w:val="Prrafodelista"/>
        <w:ind w:left="502"/>
        <w:jc w:val="both"/>
        <w:rPr>
          <w:rFonts w:asciiTheme="majorHAnsi" w:hAnsiTheme="majorHAnsi" w:cstheme="majorHAnsi"/>
          <w:b/>
        </w:rPr>
      </w:pPr>
    </w:p>
    <w:p w14:paraId="6B000E34" w14:textId="2BEA41EE" w:rsidR="005C07D9" w:rsidRPr="00D36D01" w:rsidRDefault="005C07D9" w:rsidP="005C07D9">
      <w:pPr>
        <w:pStyle w:val="Prrafodelista"/>
        <w:numPr>
          <w:ilvl w:val="0"/>
          <w:numId w:val="14"/>
        </w:numPr>
        <w:jc w:val="both"/>
        <w:rPr>
          <w:rFonts w:asciiTheme="majorHAnsi" w:eastAsiaTheme="minorEastAsia" w:hAnsiTheme="majorHAnsi" w:cstheme="majorHAnsi"/>
          <w:b/>
          <w:u w:val="single"/>
          <w:lang w:eastAsia="es-ES" w:bidi="es-ES"/>
        </w:rPr>
      </w:pPr>
      <w:r w:rsidRPr="00D36D01">
        <w:rPr>
          <w:rFonts w:asciiTheme="majorHAnsi" w:hAnsiTheme="majorHAnsi" w:cstheme="majorHAnsi"/>
          <w:color w:val="000000"/>
          <w:lang w:val="en-US"/>
        </w:rPr>
        <w:t>17</w:t>
      </w:r>
      <w:r w:rsidR="001526B5" w:rsidRPr="00D36D01">
        <w:rPr>
          <w:rFonts w:asciiTheme="majorHAnsi" w:hAnsiTheme="majorHAnsi" w:cstheme="majorHAnsi"/>
          <w:color w:val="000000"/>
          <w:lang w:val="en-US"/>
        </w:rPr>
        <w:t>/</w:t>
      </w:r>
      <w:r w:rsidRPr="00D36D01">
        <w:rPr>
          <w:rFonts w:asciiTheme="majorHAnsi" w:hAnsiTheme="majorHAnsi" w:cstheme="majorHAnsi"/>
          <w:color w:val="000000"/>
          <w:lang w:val="en-US"/>
        </w:rPr>
        <w:t>10</w:t>
      </w:r>
      <w:r w:rsidR="001526B5" w:rsidRPr="00D36D01">
        <w:rPr>
          <w:rFonts w:asciiTheme="majorHAnsi" w:hAnsiTheme="majorHAnsi" w:cstheme="majorHAnsi"/>
          <w:color w:val="000000"/>
          <w:lang w:val="en-US"/>
        </w:rPr>
        <w:t>/</w:t>
      </w:r>
      <w:r w:rsidRPr="00D36D01">
        <w:rPr>
          <w:rFonts w:asciiTheme="majorHAnsi" w:hAnsiTheme="majorHAnsi" w:cstheme="majorHAnsi"/>
          <w:color w:val="000000"/>
          <w:lang w:val="en-US"/>
        </w:rPr>
        <w:t xml:space="preserve">2019. M.P. Jaime Humberto Moreno STP-145702019 /107283. </w:t>
      </w:r>
      <w:r w:rsidRPr="00D36D01">
        <w:rPr>
          <w:rFonts w:asciiTheme="majorHAnsi" w:hAnsiTheme="majorHAnsi" w:cstheme="majorHAnsi"/>
          <w:b/>
          <w:color w:val="000000"/>
        </w:rPr>
        <w:t>Procedimiento penal abreviado. Características. Nulidad por adelantar el enjuiciamiento de una conducta objeto del proceso ordinario bajo la egida del procedimiento abreviado.</w:t>
      </w:r>
    </w:p>
    <w:p w14:paraId="0A6B0F32" w14:textId="77777777" w:rsidR="003B2B1A" w:rsidRPr="00D36D01" w:rsidRDefault="003B2B1A" w:rsidP="003B2B1A">
      <w:pPr>
        <w:pStyle w:val="Prrafodelista"/>
        <w:ind w:left="502"/>
        <w:jc w:val="both"/>
        <w:rPr>
          <w:rFonts w:asciiTheme="majorHAnsi" w:hAnsiTheme="majorHAnsi" w:cstheme="majorHAnsi"/>
          <w:b/>
          <w:color w:val="000000"/>
          <w:u w:val="single"/>
        </w:rPr>
      </w:pPr>
    </w:p>
    <w:p w14:paraId="3F15D843" w14:textId="77777777" w:rsidR="003B2B1A" w:rsidRPr="00D36D01" w:rsidRDefault="003B2B1A" w:rsidP="003B2B1A">
      <w:pPr>
        <w:pStyle w:val="Prrafodelista"/>
        <w:numPr>
          <w:ilvl w:val="0"/>
          <w:numId w:val="14"/>
        </w:numPr>
        <w:jc w:val="both"/>
        <w:rPr>
          <w:rFonts w:asciiTheme="majorHAnsi" w:hAnsiTheme="majorHAnsi" w:cstheme="majorHAnsi"/>
          <w:b/>
          <w:color w:val="000000"/>
          <w:u w:val="single"/>
        </w:rPr>
      </w:pPr>
      <w:r w:rsidRPr="00D36D01">
        <w:rPr>
          <w:rFonts w:asciiTheme="majorHAnsi" w:hAnsiTheme="majorHAnsi" w:cstheme="majorHAnsi"/>
          <w:color w:val="000000"/>
        </w:rPr>
        <w:t xml:space="preserve">12/03/2014. M.P. Luis Guillermo Salazar Otero. Rad. 36108. </w:t>
      </w:r>
      <w:r w:rsidRPr="00D36D01">
        <w:rPr>
          <w:rFonts w:asciiTheme="majorHAnsi" w:hAnsiTheme="majorHAnsi" w:cstheme="majorHAnsi"/>
          <w:b/>
          <w:color w:val="000000"/>
        </w:rPr>
        <w:t xml:space="preserve">Principio de congruencia. </w:t>
      </w:r>
      <w:r w:rsidRPr="00D36D01">
        <w:rPr>
          <w:rFonts w:asciiTheme="majorHAnsi" w:hAnsiTheme="majorHAnsi" w:cstheme="majorHAnsi"/>
          <w:b/>
          <w:color w:val="000000"/>
          <w:u w:val="single"/>
        </w:rPr>
        <w:t>Posibilidad de dictar sentencia por un delito diferente, de menor gravedad, al que fue objeto de la acusación.</w:t>
      </w:r>
    </w:p>
    <w:p w14:paraId="44166492" w14:textId="77777777" w:rsidR="003B2B1A" w:rsidRPr="00D36D01" w:rsidRDefault="003B2B1A" w:rsidP="003B2B1A">
      <w:pPr>
        <w:pStyle w:val="Prrafodelista"/>
        <w:rPr>
          <w:rFonts w:asciiTheme="majorHAnsi" w:hAnsiTheme="majorHAnsi" w:cstheme="majorHAnsi"/>
          <w:color w:val="000000"/>
        </w:rPr>
      </w:pPr>
    </w:p>
    <w:p w14:paraId="35536095" w14:textId="760BD5CC" w:rsidR="003B2B1A" w:rsidRPr="00D36D01" w:rsidRDefault="003B2B1A" w:rsidP="003B2B1A">
      <w:pPr>
        <w:pStyle w:val="Prrafodelista"/>
        <w:numPr>
          <w:ilvl w:val="0"/>
          <w:numId w:val="14"/>
        </w:numPr>
        <w:jc w:val="both"/>
        <w:rPr>
          <w:rFonts w:asciiTheme="majorHAnsi" w:hAnsiTheme="majorHAnsi" w:cstheme="majorHAnsi"/>
          <w:b/>
          <w:color w:val="000000"/>
          <w:u w:val="single"/>
        </w:rPr>
      </w:pPr>
      <w:r w:rsidRPr="00D36D01">
        <w:rPr>
          <w:rFonts w:asciiTheme="majorHAnsi" w:hAnsiTheme="majorHAnsi" w:cstheme="majorHAnsi"/>
          <w:color w:val="000000"/>
        </w:rPr>
        <w:t xml:space="preserve">05/06/2019. M.P. Patricia Salazar Cuéllar. SP2042-2019/ 51007. </w:t>
      </w:r>
      <w:r w:rsidRPr="00D36D01">
        <w:rPr>
          <w:rFonts w:asciiTheme="majorHAnsi" w:hAnsiTheme="majorHAnsi" w:cstheme="majorHAnsi"/>
          <w:b/>
          <w:color w:val="000000"/>
        </w:rPr>
        <w:t>Audiencia de formulación de imputación. Hechos jurídicamente relevantes. Consecuencias que se siguen de imputaciones o acusaciones anfibológicas. Principio de congruencia.</w:t>
      </w:r>
    </w:p>
    <w:p w14:paraId="5AACF730" w14:textId="77777777" w:rsidR="003B2B1A" w:rsidRPr="00D36D01" w:rsidRDefault="003B2B1A" w:rsidP="003B2B1A">
      <w:pPr>
        <w:pStyle w:val="Prrafodelista"/>
        <w:ind w:left="502"/>
        <w:jc w:val="both"/>
        <w:rPr>
          <w:rFonts w:asciiTheme="majorHAnsi" w:hAnsiTheme="majorHAnsi" w:cstheme="majorHAnsi"/>
          <w:b/>
          <w:u w:val="single"/>
        </w:rPr>
      </w:pPr>
    </w:p>
    <w:p w14:paraId="3893DC15" w14:textId="77777777" w:rsidR="003B2B1A" w:rsidRPr="00D36D01" w:rsidRDefault="003B2B1A" w:rsidP="003B2B1A">
      <w:pPr>
        <w:pStyle w:val="Prrafodelista"/>
        <w:numPr>
          <w:ilvl w:val="0"/>
          <w:numId w:val="14"/>
        </w:numPr>
        <w:jc w:val="both"/>
        <w:rPr>
          <w:rFonts w:asciiTheme="majorHAnsi" w:hAnsiTheme="majorHAnsi" w:cstheme="majorHAnsi"/>
          <w:b/>
          <w:u w:val="single"/>
        </w:rPr>
      </w:pPr>
      <w:r w:rsidRPr="00D36D01">
        <w:rPr>
          <w:rFonts w:asciiTheme="majorHAnsi" w:hAnsiTheme="majorHAnsi" w:cstheme="majorHAnsi"/>
          <w:color w:val="000000"/>
        </w:rPr>
        <w:lastRenderedPageBreak/>
        <w:t xml:space="preserve">21/03/2007. M.P. Julio Enrique Socha Salamanca. Rad. 25862. </w:t>
      </w:r>
      <w:r w:rsidRPr="00D36D01">
        <w:rPr>
          <w:rFonts w:asciiTheme="majorHAnsi" w:hAnsiTheme="majorHAnsi" w:cstheme="majorHAnsi"/>
          <w:b/>
          <w:color w:val="000000"/>
        </w:rPr>
        <w:t>Audiencia de individualización de la pena y sentencia (art. 447 CPP). Objeto y desarrollo.</w:t>
      </w:r>
    </w:p>
    <w:p w14:paraId="71D3A0A3" w14:textId="77777777" w:rsidR="003B2B1A" w:rsidRDefault="003B2B1A" w:rsidP="00FD446D">
      <w:pPr>
        <w:ind w:left="142"/>
        <w:jc w:val="both"/>
        <w:rPr>
          <w:rFonts w:asciiTheme="majorHAnsi" w:eastAsiaTheme="minorEastAsia" w:hAnsiTheme="majorHAnsi" w:cstheme="majorHAnsi"/>
          <w:b/>
          <w:u w:val="single"/>
          <w:lang w:eastAsia="es-ES" w:bidi="es-ES"/>
        </w:rPr>
      </w:pPr>
    </w:p>
    <w:p w14:paraId="1520B7A0" w14:textId="6B8B4383" w:rsidR="00FD446D" w:rsidRPr="00FD446D" w:rsidRDefault="00FD446D" w:rsidP="00FD446D">
      <w:pPr>
        <w:ind w:left="142"/>
        <w:jc w:val="both"/>
        <w:rPr>
          <w:rFonts w:asciiTheme="majorHAnsi" w:eastAsiaTheme="minorEastAsia" w:hAnsiTheme="majorHAnsi" w:cstheme="majorHAnsi"/>
          <w:b/>
          <w:u w:val="single"/>
          <w:lang w:eastAsia="es-ES" w:bidi="es-ES"/>
        </w:rPr>
      </w:pPr>
      <w:r>
        <w:rPr>
          <w:rFonts w:asciiTheme="majorHAnsi" w:eastAsiaTheme="minorEastAsia" w:hAnsiTheme="majorHAnsi" w:cstheme="majorHAnsi"/>
          <w:b/>
          <w:u w:val="single"/>
          <w:lang w:eastAsia="es-ES" w:bidi="es-ES"/>
        </w:rPr>
        <w:t xml:space="preserve">*Las referencias jurisprudenciales podrán ampliarse </w:t>
      </w:r>
      <w:proofErr w:type="gramStart"/>
      <w:r>
        <w:rPr>
          <w:rFonts w:asciiTheme="majorHAnsi" w:eastAsiaTheme="minorEastAsia" w:hAnsiTheme="majorHAnsi" w:cstheme="majorHAnsi"/>
          <w:b/>
          <w:u w:val="single"/>
          <w:lang w:eastAsia="es-ES" w:bidi="es-ES"/>
        </w:rPr>
        <w:t>de acuerdo a</w:t>
      </w:r>
      <w:proofErr w:type="gramEnd"/>
      <w:r>
        <w:rPr>
          <w:rFonts w:asciiTheme="majorHAnsi" w:eastAsiaTheme="minorEastAsia" w:hAnsiTheme="majorHAnsi" w:cstheme="majorHAnsi"/>
          <w:b/>
          <w:u w:val="single"/>
          <w:lang w:eastAsia="es-ES" w:bidi="es-ES"/>
        </w:rPr>
        <w:t xml:space="preserve"> la</w:t>
      </w:r>
      <w:r w:rsidR="0085185D">
        <w:rPr>
          <w:rFonts w:asciiTheme="majorHAnsi" w:eastAsiaTheme="minorEastAsia" w:hAnsiTheme="majorHAnsi" w:cstheme="majorHAnsi"/>
          <w:b/>
          <w:u w:val="single"/>
          <w:lang w:eastAsia="es-ES" w:bidi="es-ES"/>
        </w:rPr>
        <w:t xml:space="preserve">s novedades que en cada tema se presenten </w:t>
      </w:r>
    </w:p>
    <w:sectPr w:rsidR="00FD446D" w:rsidRPr="00FD446D" w:rsidSect="002501A9">
      <w:headerReference w:type="default" r:id="rId11"/>
      <w:pgSz w:w="12240" w:h="15840" w:code="1"/>
      <w:pgMar w:top="1701" w:right="1134" w:bottom="1134" w:left="1701" w:header="56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F5359" w14:textId="77777777" w:rsidR="00E82EB1" w:rsidRDefault="00E82EB1" w:rsidP="00A622CB">
      <w:r>
        <w:separator/>
      </w:r>
    </w:p>
  </w:endnote>
  <w:endnote w:type="continuationSeparator" w:id="0">
    <w:p w14:paraId="6D25C457" w14:textId="77777777" w:rsidR="00E82EB1" w:rsidRDefault="00E82EB1" w:rsidP="00A62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ngsanaUPC">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CE1552" w14:textId="77777777" w:rsidR="00E82EB1" w:rsidRDefault="00E82EB1" w:rsidP="00A622CB">
      <w:r>
        <w:separator/>
      </w:r>
    </w:p>
  </w:footnote>
  <w:footnote w:type="continuationSeparator" w:id="0">
    <w:p w14:paraId="72E99F9F" w14:textId="77777777" w:rsidR="00E82EB1" w:rsidRDefault="00E82EB1" w:rsidP="00A622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C3488" w14:textId="741E00BE" w:rsidR="00AD44FA" w:rsidRDefault="00AD44FA">
    <w:pPr>
      <w:pStyle w:val="Encabezado"/>
    </w:pPr>
    <w:r>
      <w:rPr>
        <w:noProof/>
        <w:lang w:val="en-US" w:eastAsia="en-US"/>
      </w:rPr>
      <w:drawing>
        <wp:anchor distT="0" distB="0" distL="114300" distR="114300" simplePos="0" relativeHeight="251659264" behindDoc="0" locked="0" layoutInCell="1" allowOverlap="1" wp14:anchorId="43D1A819" wp14:editId="7642BAC2">
          <wp:simplePos x="0" y="0"/>
          <wp:positionH relativeFrom="page">
            <wp:posOffset>-63062</wp:posOffset>
          </wp:positionH>
          <wp:positionV relativeFrom="page">
            <wp:posOffset>1</wp:posOffset>
          </wp:positionV>
          <wp:extent cx="7882890" cy="1717040"/>
          <wp:effectExtent l="0" t="0" r="0" b="10160"/>
          <wp:wrapThrough wrapText="bothSides">
            <wp:wrapPolygon edited="0">
              <wp:start x="0" y="0"/>
              <wp:lineTo x="0" y="21408"/>
              <wp:lineTo x="21506" y="21408"/>
              <wp:lineTo x="21506" y="0"/>
              <wp:lineTo x="0" y="0"/>
            </wp:wrapPolygon>
          </wp:wrapThrough>
          <wp:docPr id="5" name="3 Imagen" descr="Descripción: hea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Imagen" descr="Descripción: head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82890" cy="17170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45067D7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690BA9"/>
    <w:multiLevelType w:val="hybridMultilevel"/>
    <w:tmpl w:val="2DA09D04"/>
    <w:lvl w:ilvl="0" w:tplc="37F2B026">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987C9E"/>
    <w:multiLevelType w:val="hybridMultilevel"/>
    <w:tmpl w:val="3F6CA260"/>
    <w:lvl w:ilvl="0" w:tplc="010EF7F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2F0887"/>
    <w:multiLevelType w:val="hybridMultilevel"/>
    <w:tmpl w:val="D2AA42A4"/>
    <w:lvl w:ilvl="0" w:tplc="040A0019">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6A23765"/>
    <w:multiLevelType w:val="hybridMultilevel"/>
    <w:tmpl w:val="DD68749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0F170AE5"/>
    <w:multiLevelType w:val="hybridMultilevel"/>
    <w:tmpl w:val="A1AA7C22"/>
    <w:lvl w:ilvl="0" w:tplc="010EF7F2">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EB3602E"/>
    <w:multiLevelType w:val="hybridMultilevel"/>
    <w:tmpl w:val="E12252E8"/>
    <w:lvl w:ilvl="0" w:tplc="A32C760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AA67C0"/>
    <w:multiLevelType w:val="multilevel"/>
    <w:tmpl w:val="51E4F480"/>
    <w:lvl w:ilvl="0">
      <w:start w:val="4"/>
      <w:numFmt w:val="decimal"/>
      <w:lvlText w:val="%1"/>
      <w:lvlJc w:val="left"/>
      <w:pPr>
        <w:ind w:left="360" w:hanging="360"/>
      </w:pPr>
      <w:rPr>
        <w:rFonts w:hint="default"/>
      </w:rPr>
    </w:lvl>
    <w:lvl w:ilvl="1">
      <w:start w:val="1"/>
      <w:numFmt w:val="decimal"/>
      <w:lvlText w:val="%1.%2"/>
      <w:lvlJc w:val="left"/>
      <w:pPr>
        <w:ind w:left="962" w:hanging="360"/>
      </w:pPr>
      <w:rPr>
        <w:rFonts w:hint="default"/>
        <w:b w:val="0"/>
      </w:rPr>
    </w:lvl>
    <w:lvl w:ilvl="2">
      <w:start w:val="1"/>
      <w:numFmt w:val="decimal"/>
      <w:lvlText w:val="%1.%2.%3"/>
      <w:lvlJc w:val="left"/>
      <w:pPr>
        <w:ind w:left="1924" w:hanging="720"/>
      </w:pPr>
      <w:rPr>
        <w:rFonts w:hint="default"/>
        <w:b w:val="0"/>
      </w:rPr>
    </w:lvl>
    <w:lvl w:ilvl="3">
      <w:start w:val="1"/>
      <w:numFmt w:val="decimal"/>
      <w:lvlText w:val="%1.%2.%3.%4"/>
      <w:lvlJc w:val="left"/>
      <w:pPr>
        <w:ind w:left="2526" w:hanging="720"/>
      </w:pPr>
      <w:rPr>
        <w:rFonts w:hint="default"/>
      </w:rPr>
    </w:lvl>
    <w:lvl w:ilvl="4">
      <w:start w:val="1"/>
      <w:numFmt w:val="decimal"/>
      <w:lvlText w:val="%1.%2.%3.%4.%5"/>
      <w:lvlJc w:val="left"/>
      <w:pPr>
        <w:ind w:left="3488" w:hanging="1080"/>
      </w:pPr>
      <w:rPr>
        <w:rFonts w:hint="default"/>
      </w:rPr>
    </w:lvl>
    <w:lvl w:ilvl="5">
      <w:start w:val="1"/>
      <w:numFmt w:val="decimal"/>
      <w:lvlText w:val="%1.%2.%3.%4.%5.%6"/>
      <w:lvlJc w:val="left"/>
      <w:pPr>
        <w:ind w:left="4090" w:hanging="1080"/>
      </w:pPr>
      <w:rPr>
        <w:rFonts w:hint="default"/>
      </w:rPr>
    </w:lvl>
    <w:lvl w:ilvl="6">
      <w:start w:val="1"/>
      <w:numFmt w:val="decimal"/>
      <w:lvlText w:val="%1.%2.%3.%4.%5.%6.%7"/>
      <w:lvlJc w:val="left"/>
      <w:pPr>
        <w:ind w:left="5052" w:hanging="1440"/>
      </w:pPr>
      <w:rPr>
        <w:rFonts w:hint="default"/>
      </w:rPr>
    </w:lvl>
    <w:lvl w:ilvl="7">
      <w:start w:val="1"/>
      <w:numFmt w:val="decimal"/>
      <w:lvlText w:val="%1.%2.%3.%4.%5.%6.%7.%8"/>
      <w:lvlJc w:val="left"/>
      <w:pPr>
        <w:ind w:left="5654" w:hanging="1440"/>
      </w:pPr>
      <w:rPr>
        <w:rFonts w:hint="default"/>
      </w:rPr>
    </w:lvl>
    <w:lvl w:ilvl="8">
      <w:start w:val="1"/>
      <w:numFmt w:val="decimal"/>
      <w:lvlText w:val="%1.%2.%3.%4.%5.%6.%7.%8.%9"/>
      <w:lvlJc w:val="left"/>
      <w:pPr>
        <w:ind w:left="6256" w:hanging="1440"/>
      </w:pPr>
      <w:rPr>
        <w:rFonts w:hint="default"/>
      </w:rPr>
    </w:lvl>
  </w:abstractNum>
  <w:abstractNum w:abstractNumId="8" w15:restartNumberingAfterBreak="0">
    <w:nsid w:val="25F562D1"/>
    <w:multiLevelType w:val="hybridMultilevel"/>
    <w:tmpl w:val="6BE4743A"/>
    <w:lvl w:ilvl="0" w:tplc="FFFFFFFF">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611A8C"/>
    <w:multiLevelType w:val="hybridMultilevel"/>
    <w:tmpl w:val="68783F3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22871BC"/>
    <w:multiLevelType w:val="hybridMultilevel"/>
    <w:tmpl w:val="26422D6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78D48F6"/>
    <w:multiLevelType w:val="hybridMultilevel"/>
    <w:tmpl w:val="973A0DF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9997099"/>
    <w:multiLevelType w:val="hybridMultilevel"/>
    <w:tmpl w:val="CC3A4A32"/>
    <w:lvl w:ilvl="0" w:tplc="26889AD8">
      <w:start w:val="1"/>
      <w:numFmt w:val="decimal"/>
      <w:lvlText w:val="%1."/>
      <w:lvlJc w:val="left"/>
      <w:pPr>
        <w:ind w:left="502" w:hanging="360"/>
      </w:pPr>
      <w:rPr>
        <w:rFonts w:hint="default"/>
        <w:b w:val="0"/>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3" w15:restartNumberingAfterBreak="0">
    <w:nsid w:val="40856FDB"/>
    <w:multiLevelType w:val="hybridMultilevel"/>
    <w:tmpl w:val="C8E0EA2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4460442"/>
    <w:multiLevelType w:val="multilevel"/>
    <w:tmpl w:val="F18E7DEE"/>
    <w:lvl w:ilvl="0">
      <w:start w:val="1"/>
      <w:numFmt w:val="decimal"/>
      <w:lvlText w:val="%1."/>
      <w:lvlJc w:val="left"/>
      <w:pPr>
        <w:ind w:left="602" w:hanging="360"/>
      </w:pPr>
      <w:rPr>
        <w:rFonts w:ascii="Calibri" w:eastAsia="Calibri" w:hAnsi="Calibri" w:cs="Calibri" w:hint="default"/>
        <w:spacing w:val="-2"/>
        <w:w w:val="100"/>
        <w:sz w:val="24"/>
        <w:szCs w:val="24"/>
        <w:lang w:val="es-CO" w:eastAsia="es-CO" w:bidi="es-CO"/>
      </w:rPr>
    </w:lvl>
    <w:lvl w:ilvl="1">
      <w:start w:val="1"/>
      <w:numFmt w:val="decimal"/>
      <w:lvlText w:val="%1.%2."/>
      <w:lvlJc w:val="left"/>
      <w:pPr>
        <w:ind w:left="1689" w:hanging="696"/>
      </w:pPr>
      <w:rPr>
        <w:rFonts w:ascii="Calibri" w:eastAsia="Calibri" w:hAnsi="Calibri" w:cs="Calibri" w:hint="default"/>
        <w:spacing w:val="-1"/>
        <w:w w:val="100"/>
        <w:sz w:val="24"/>
        <w:szCs w:val="24"/>
        <w:lang w:val="es-CO" w:eastAsia="es-CO" w:bidi="es-CO"/>
      </w:rPr>
    </w:lvl>
    <w:lvl w:ilvl="2">
      <w:start w:val="1"/>
      <w:numFmt w:val="decimal"/>
      <w:lvlText w:val="%1.%2.%3."/>
      <w:lvlJc w:val="left"/>
      <w:pPr>
        <w:ind w:left="2402" w:hanging="720"/>
      </w:pPr>
      <w:rPr>
        <w:rFonts w:ascii="Calibri" w:eastAsia="Calibri" w:hAnsi="Calibri" w:cs="Calibri" w:hint="default"/>
        <w:spacing w:val="-3"/>
        <w:w w:val="100"/>
        <w:sz w:val="24"/>
        <w:szCs w:val="24"/>
        <w:lang w:val="es-CO" w:eastAsia="es-CO" w:bidi="es-CO"/>
      </w:rPr>
    </w:lvl>
    <w:lvl w:ilvl="3">
      <w:start w:val="1"/>
      <w:numFmt w:val="decimal"/>
      <w:lvlText w:val="%1.%2.%3.%4."/>
      <w:lvlJc w:val="left"/>
      <w:pPr>
        <w:ind w:left="3782" w:hanging="1381"/>
      </w:pPr>
      <w:rPr>
        <w:rFonts w:ascii="Calibri" w:eastAsia="Calibri" w:hAnsi="Calibri" w:cs="Calibri" w:hint="default"/>
        <w:spacing w:val="-2"/>
        <w:w w:val="100"/>
        <w:sz w:val="24"/>
        <w:szCs w:val="24"/>
        <w:lang w:val="es-CO" w:eastAsia="es-CO" w:bidi="es-CO"/>
      </w:rPr>
    </w:lvl>
    <w:lvl w:ilvl="4">
      <w:numFmt w:val="bullet"/>
      <w:lvlText w:val="•"/>
      <w:lvlJc w:val="left"/>
      <w:pPr>
        <w:ind w:left="3780" w:hanging="1381"/>
      </w:pPr>
      <w:rPr>
        <w:rFonts w:hint="default"/>
        <w:lang w:val="es-CO" w:eastAsia="es-CO" w:bidi="es-CO"/>
      </w:rPr>
    </w:lvl>
    <w:lvl w:ilvl="5">
      <w:numFmt w:val="bullet"/>
      <w:lvlText w:val="•"/>
      <w:lvlJc w:val="left"/>
      <w:pPr>
        <w:ind w:left="4200" w:hanging="1381"/>
      </w:pPr>
      <w:rPr>
        <w:rFonts w:hint="default"/>
        <w:lang w:val="es-CO" w:eastAsia="es-CO" w:bidi="es-CO"/>
      </w:rPr>
    </w:lvl>
    <w:lvl w:ilvl="6">
      <w:numFmt w:val="bullet"/>
      <w:lvlText w:val="•"/>
      <w:lvlJc w:val="left"/>
      <w:pPr>
        <w:ind w:left="5192" w:hanging="1381"/>
      </w:pPr>
      <w:rPr>
        <w:rFonts w:hint="default"/>
        <w:lang w:val="es-CO" w:eastAsia="es-CO" w:bidi="es-CO"/>
      </w:rPr>
    </w:lvl>
    <w:lvl w:ilvl="7">
      <w:numFmt w:val="bullet"/>
      <w:lvlText w:val="•"/>
      <w:lvlJc w:val="left"/>
      <w:pPr>
        <w:ind w:left="6184" w:hanging="1381"/>
      </w:pPr>
      <w:rPr>
        <w:rFonts w:hint="default"/>
        <w:lang w:val="es-CO" w:eastAsia="es-CO" w:bidi="es-CO"/>
      </w:rPr>
    </w:lvl>
    <w:lvl w:ilvl="8">
      <w:numFmt w:val="bullet"/>
      <w:lvlText w:val="•"/>
      <w:lvlJc w:val="left"/>
      <w:pPr>
        <w:ind w:left="7176" w:hanging="1381"/>
      </w:pPr>
      <w:rPr>
        <w:rFonts w:hint="default"/>
        <w:lang w:val="es-CO" w:eastAsia="es-CO" w:bidi="es-CO"/>
      </w:rPr>
    </w:lvl>
  </w:abstractNum>
  <w:abstractNum w:abstractNumId="15" w15:restartNumberingAfterBreak="0">
    <w:nsid w:val="446B70A2"/>
    <w:multiLevelType w:val="multilevel"/>
    <w:tmpl w:val="51E4F480"/>
    <w:lvl w:ilvl="0">
      <w:start w:val="4"/>
      <w:numFmt w:val="decimal"/>
      <w:lvlText w:val="%1"/>
      <w:lvlJc w:val="left"/>
      <w:pPr>
        <w:ind w:left="360" w:hanging="360"/>
      </w:pPr>
      <w:rPr>
        <w:rFonts w:hint="default"/>
      </w:rPr>
    </w:lvl>
    <w:lvl w:ilvl="1">
      <w:start w:val="1"/>
      <w:numFmt w:val="decimal"/>
      <w:lvlText w:val="%1.%2"/>
      <w:lvlJc w:val="left"/>
      <w:pPr>
        <w:ind w:left="962" w:hanging="360"/>
      </w:pPr>
      <w:rPr>
        <w:rFonts w:hint="default"/>
        <w:b w:val="0"/>
      </w:rPr>
    </w:lvl>
    <w:lvl w:ilvl="2">
      <w:start w:val="1"/>
      <w:numFmt w:val="decimal"/>
      <w:lvlText w:val="%1.%2.%3"/>
      <w:lvlJc w:val="left"/>
      <w:pPr>
        <w:ind w:left="1924" w:hanging="720"/>
      </w:pPr>
      <w:rPr>
        <w:rFonts w:hint="default"/>
        <w:b w:val="0"/>
      </w:rPr>
    </w:lvl>
    <w:lvl w:ilvl="3">
      <w:start w:val="1"/>
      <w:numFmt w:val="decimal"/>
      <w:lvlText w:val="%1.%2.%3.%4"/>
      <w:lvlJc w:val="left"/>
      <w:pPr>
        <w:ind w:left="2526" w:hanging="720"/>
      </w:pPr>
      <w:rPr>
        <w:rFonts w:hint="default"/>
      </w:rPr>
    </w:lvl>
    <w:lvl w:ilvl="4">
      <w:start w:val="1"/>
      <w:numFmt w:val="decimal"/>
      <w:lvlText w:val="%1.%2.%3.%4.%5"/>
      <w:lvlJc w:val="left"/>
      <w:pPr>
        <w:ind w:left="3488" w:hanging="1080"/>
      </w:pPr>
      <w:rPr>
        <w:rFonts w:hint="default"/>
      </w:rPr>
    </w:lvl>
    <w:lvl w:ilvl="5">
      <w:start w:val="1"/>
      <w:numFmt w:val="decimal"/>
      <w:lvlText w:val="%1.%2.%3.%4.%5.%6"/>
      <w:lvlJc w:val="left"/>
      <w:pPr>
        <w:ind w:left="4090" w:hanging="1080"/>
      </w:pPr>
      <w:rPr>
        <w:rFonts w:hint="default"/>
      </w:rPr>
    </w:lvl>
    <w:lvl w:ilvl="6">
      <w:start w:val="1"/>
      <w:numFmt w:val="decimal"/>
      <w:lvlText w:val="%1.%2.%3.%4.%5.%6.%7"/>
      <w:lvlJc w:val="left"/>
      <w:pPr>
        <w:ind w:left="5052" w:hanging="1440"/>
      </w:pPr>
      <w:rPr>
        <w:rFonts w:hint="default"/>
      </w:rPr>
    </w:lvl>
    <w:lvl w:ilvl="7">
      <w:start w:val="1"/>
      <w:numFmt w:val="decimal"/>
      <w:lvlText w:val="%1.%2.%3.%4.%5.%6.%7.%8"/>
      <w:lvlJc w:val="left"/>
      <w:pPr>
        <w:ind w:left="5654" w:hanging="1440"/>
      </w:pPr>
      <w:rPr>
        <w:rFonts w:hint="default"/>
      </w:rPr>
    </w:lvl>
    <w:lvl w:ilvl="8">
      <w:start w:val="1"/>
      <w:numFmt w:val="decimal"/>
      <w:lvlText w:val="%1.%2.%3.%4.%5.%6.%7.%8.%9"/>
      <w:lvlJc w:val="left"/>
      <w:pPr>
        <w:ind w:left="6256" w:hanging="1440"/>
      </w:pPr>
      <w:rPr>
        <w:rFonts w:hint="default"/>
      </w:rPr>
    </w:lvl>
  </w:abstractNum>
  <w:abstractNum w:abstractNumId="16" w15:restartNumberingAfterBreak="0">
    <w:nsid w:val="4C0D6327"/>
    <w:multiLevelType w:val="hybridMultilevel"/>
    <w:tmpl w:val="C0A2867E"/>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5CF33DB"/>
    <w:multiLevelType w:val="hybridMultilevel"/>
    <w:tmpl w:val="1E08A43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5DA602CF"/>
    <w:multiLevelType w:val="hybridMultilevel"/>
    <w:tmpl w:val="F1389D1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657D47FB"/>
    <w:multiLevelType w:val="hybridMultilevel"/>
    <w:tmpl w:val="C0A2867E"/>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2267419"/>
    <w:multiLevelType w:val="hybridMultilevel"/>
    <w:tmpl w:val="A06E20A8"/>
    <w:lvl w:ilvl="0" w:tplc="4C1C22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CC3177F"/>
    <w:multiLevelType w:val="hybridMultilevel"/>
    <w:tmpl w:val="C0A2867E"/>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903299174">
    <w:abstractNumId w:val="9"/>
  </w:num>
  <w:num w:numId="2" w16cid:durableId="471212584">
    <w:abstractNumId w:val="3"/>
  </w:num>
  <w:num w:numId="3" w16cid:durableId="357007343">
    <w:abstractNumId w:val="11"/>
  </w:num>
  <w:num w:numId="4" w16cid:durableId="832187295">
    <w:abstractNumId w:val="17"/>
  </w:num>
  <w:num w:numId="5" w16cid:durableId="803155078">
    <w:abstractNumId w:val="10"/>
  </w:num>
  <w:num w:numId="6" w16cid:durableId="772165804">
    <w:abstractNumId w:val="18"/>
  </w:num>
  <w:num w:numId="7" w16cid:durableId="1851407387">
    <w:abstractNumId w:val="4"/>
  </w:num>
  <w:num w:numId="8" w16cid:durableId="178469299">
    <w:abstractNumId w:val="13"/>
  </w:num>
  <w:num w:numId="9" w16cid:durableId="500580968">
    <w:abstractNumId w:val="0"/>
  </w:num>
  <w:num w:numId="10" w16cid:durableId="117770774">
    <w:abstractNumId w:val="1"/>
  </w:num>
  <w:num w:numId="11" w16cid:durableId="542209854">
    <w:abstractNumId w:val="6"/>
  </w:num>
  <w:num w:numId="12" w16cid:durableId="366570241">
    <w:abstractNumId w:val="5"/>
  </w:num>
  <w:num w:numId="13" w16cid:durableId="1217279503">
    <w:abstractNumId w:val="20"/>
  </w:num>
  <w:num w:numId="14" w16cid:durableId="1060708647">
    <w:abstractNumId w:val="12"/>
  </w:num>
  <w:num w:numId="15" w16cid:durableId="946734401">
    <w:abstractNumId w:val="19"/>
  </w:num>
  <w:num w:numId="16" w16cid:durableId="1704940893">
    <w:abstractNumId w:val="8"/>
  </w:num>
  <w:num w:numId="17" w16cid:durableId="298264152">
    <w:abstractNumId w:val="16"/>
  </w:num>
  <w:num w:numId="18" w16cid:durableId="231740029">
    <w:abstractNumId w:val="21"/>
  </w:num>
  <w:num w:numId="19" w16cid:durableId="349186010">
    <w:abstractNumId w:val="2"/>
  </w:num>
  <w:num w:numId="20" w16cid:durableId="834683643">
    <w:abstractNumId w:val="14"/>
  </w:num>
  <w:num w:numId="21" w16cid:durableId="1541166955">
    <w:abstractNumId w:val="7"/>
  </w:num>
  <w:num w:numId="22" w16cid:durableId="1402293084">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activeWritingStyle w:appName="MSWord" w:lang="es-ES_tradnl" w:vendorID="64" w:dllVersion="4096" w:nlCheck="1" w:checkStyle="0"/>
  <w:activeWritingStyle w:appName="MSWord" w:lang="es-ES_tradnl" w:vendorID="64" w:dllVersion="0" w:nlCheck="1" w:checkStyle="0"/>
  <w:activeWritingStyle w:appName="MSWord" w:lang="en-US" w:vendorID="64" w:dllVersion="0" w:nlCheck="1" w:checkStyle="0"/>
  <w:activeWritingStyle w:appName="MSWord" w:lang="es-ES" w:vendorID="64" w:dllVersion="0" w:nlCheck="1" w:checkStyle="0"/>
  <w:activeWritingStyle w:appName="MSWord" w:lang="es-CO"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718"/>
    <w:rsid w:val="00003462"/>
    <w:rsid w:val="00016F44"/>
    <w:rsid w:val="0002533B"/>
    <w:rsid w:val="000322D7"/>
    <w:rsid w:val="000370D2"/>
    <w:rsid w:val="0004133A"/>
    <w:rsid w:val="000417A6"/>
    <w:rsid w:val="00044BD2"/>
    <w:rsid w:val="0005581A"/>
    <w:rsid w:val="00070AEA"/>
    <w:rsid w:val="00073799"/>
    <w:rsid w:val="00074A2E"/>
    <w:rsid w:val="000755B6"/>
    <w:rsid w:val="00086FD8"/>
    <w:rsid w:val="00090BA1"/>
    <w:rsid w:val="00091B4E"/>
    <w:rsid w:val="0009685C"/>
    <w:rsid w:val="000A0118"/>
    <w:rsid w:val="000A2E61"/>
    <w:rsid w:val="000B23AD"/>
    <w:rsid w:val="000B5C7D"/>
    <w:rsid w:val="000B5D2C"/>
    <w:rsid w:val="000C0D5E"/>
    <w:rsid w:val="000C78C1"/>
    <w:rsid w:val="000D7254"/>
    <w:rsid w:val="000D77CD"/>
    <w:rsid w:val="000E2B02"/>
    <w:rsid w:val="00100199"/>
    <w:rsid w:val="00110AFD"/>
    <w:rsid w:val="00110B24"/>
    <w:rsid w:val="00114EB2"/>
    <w:rsid w:val="00115476"/>
    <w:rsid w:val="00116588"/>
    <w:rsid w:val="001262DD"/>
    <w:rsid w:val="001316FF"/>
    <w:rsid w:val="00132969"/>
    <w:rsid w:val="00142009"/>
    <w:rsid w:val="001420BC"/>
    <w:rsid w:val="001451D2"/>
    <w:rsid w:val="00145EE9"/>
    <w:rsid w:val="001525D6"/>
    <w:rsid w:val="001526B5"/>
    <w:rsid w:val="00154C72"/>
    <w:rsid w:val="001554CA"/>
    <w:rsid w:val="00155645"/>
    <w:rsid w:val="001561A6"/>
    <w:rsid w:val="00156C93"/>
    <w:rsid w:val="00156CE1"/>
    <w:rsid w:val="00161EE4"/>
    <w:rsid w:val="001631BB"/>
    <w:rsid w:val="00165B84"/>
    <w:rsid w:val="00167608"/>
    <w:rsid w:val="00170A61"/>
    <w:rsid w:val="00172A9E"/>
    <w:rsid w:val="00191C48"/>
    <w:rsid w:val="001A3D10"/>
    <w:rsid w:val="001B12E9"/>
    <w:rsid w:val="001B2701"/>
    <w:rsid w:val="001D05FC"/>
    <w:rsid w:val="001D07EC"/>
    <w:rsid w:val="001D0A4A"/>
    <w:rsid w:val="001E15E7"/>
    <w:rsid w:val="001E5A8E"/>
    <w:rsid w:val="001F18E5"/>
    <w:rsid w:val="001F1C2E"/>
    <w:rsid w:val="001F29A7"/>
    <w:rsid w:val="001F6DF1"/>
    <w:rsid w:val="00201C31"/>
    <w:rsid w:val="00203B1B"/>
    <w:rsid w:val="00206801"/>
    <w:rsid w:val="0021106D"/>
    <w:rsid w:val="00213139"/>
    <w:rsid w:val="002228BF"/>
    <w:rsid w:val="00227566"/>
    <w:rsid w:val="00231184"/>
    <w:rsid w:val="00241DBF"/>
    <w:rsid w:val="002455E5"/>
    <w:rsid w:val="002501A9"/>
    <w:rsid w:val="002502EF"/>
    <w:rsid w:val="0025271F"/>
    <w:rsid w:val="00252B85"/>
    <w:rsid w:val="00252EDC"/>
    <w:rsid w:val="002554BD"/>
    <w:rsid w:val="002603B0"/>
    <w:rsid w:val="002606DA"/>
    <w:rsid w:val="00260EFD"/>
    <w:rsid w:val="00261805"/>
    <w:rsid w:val="00283359"/>
    <w:rsid w:val="00284225"/>
    <w:rsid w:val="0028587D"/>
    <w:rsid w:val="00287D5F"/>
    <w:rsid w:val="002A210B"/>
    <w:rsid w:val="002A3134"/>
    <w:rsid w:val="002A3846"/>
    <w:rsid w:val="002B33B0"/>
    <w:rsid w:val="002B4245"/>
    <w:rsid w:val="002B46F4"/>
    <w:rsid w:val="002B6FBF"/>
    <w:rsid w:val="002B712E"/>
    <w:rsid w:val="002C3582"/>
    <w:rsid w:val="002C46BA"/>
    <w:rsid w:val="002D4F56"/>
    <w:rsid w:val="002D7FF8"/>
    <w:rsid w:val="002E0A0B"/>
    <w:rsid w:val="002E46C3"/>
    <w:rsid w:val="002E71EB"/>
    <w:rsid w:val="002F1880"/>
    <w:rsid w:val="002F7520"/>
    <w:rsid w:val="00306FEA"/>
    <w:rsid w:val="00312FCC"/>
    <w:rsid w:val="00323A20"/>
    <w:rsid w:val="00336C0F"/>
    <w:rsid w:val="00341E50"/>
    <w:rsid w:val="0034525A"/>
    <w:rsid w:val="00346D89"/>
    <w:rsid w:val="00357F17"/>
    <w:rsid w:val="00363982"/>
    <w:rsid w:val="00363F4C"/>
    <w:rsid w:val="00367863"/>
    <w:rsid w:val="003702A7"/>
    <w:rsid w:val="00375662"/>
    <w:rsid w:val="003758A4"/>
    <w:rsid w:val="00376429"/>
    <w:rsid w:val="00380284"/>
    <w:rsid w:val="00381AD4"/>
    <w:rsid w:val="0038459B"/>
    <w:rsid w:val="00386C4D"/>
    <w:rsid w:val="00395C38"/>
    <w:rsid w:val="00395D85"/>
    <w:rsid w:val="003A2B50"/>
    <w:rsid w:val="003A3E85"/>
    <w:rsid w:val="003A427E"/>
    <w:rsid w:val="003A460C"/>
    <w:rsid w:val="003A4CA6"/>
    <w:rsid w:val="003B0BEC"/>
    <w:rsid w:val="003B1A25"/>
    <w:rsid w:val="003B2B1A"/>
    <w:rsid w:val="003B33C8"/>
    <w:rsid w:val="003B7A1F"/>
    <w:rsid w:val="003C1663"/>
    <w:rsid w:val="003C2B0F"/>
    <w:rsid w:val="003C4E22"/>
    <w:rsid w:val="003C5581"/>
    <w:rsid w:val="003D1464"/>
    <w:rsid w:val="003D1DF0"/>
    <w:rsid w:val="003F40C5"/>
    <w:rsid w:val="00403AEE"/>
    <w:rsid w:val="00406700"/>
    <w:rsid w:val="00410111"/>
    <w:rsid w:val="00410129"/>
    <w:rsid w:val="00412302"/>
    <w:rsid w:val="004123C6"/>
    <w:rsid w:val="004152D5"/>
    <w:rsid w:val="00421497"/>
    <w:rsid w:val="00425081"/>
    <w:rsid w:val="00427BC3"/>
    <w:rsid w:val="00434E66"/>
    <w:rsid w:val="00446ABB"/>
    <w:rsid w:val="00451B8F"/>
    <w:rsid w:val="00455B75"/>
    <w:rsid w:val="00455FCE"/>
    <w:rsid w:val="004702F4"/>
    <w:rsid w:val="0048233B"/>
    <w:rsid w:val="004833E4"/>
    <w:rsid w:val="00485C20"/>
    <w:rsid w:val="00492619"/>
    <w:rsid w:val="004929C7"/>
    <w:rsid w:val="004B1186"/>
    <w:rsid w:val="004B16C6"/>
    <w:rsid w:val="004B180F"/>
    <w:rsid w:val="004C180A"/>
    <w:rsid w:val="004C71D4"/>
    <w:rsid w:val="004D367E"/>
    <w:rsid w:val="004E0DEE"/>
    <w:rsid w:val="004E1A18"/>
    <w:rsid w:val="004E769B"/>
    <w:rsid w:val="004F41B5"/>
    <w:rsid w:val="004F4593"/>
    <w:rsid w:val="00516CC2"/>
    <w:rsid w:val="0051782F"/>
    <w:rsid w:val="00520156"/>
    <w:rsid w:val="00521AD5"/>
    <w:rsid w:val="00523D0D"/>
    <w:rsid w:val="00527860"/>
    <w:rsid w:val="00533F7F"/>
    <w:rsid w:val="00534694"/>
    <w:rsid w:val="00550738"/>
    <w:rsid w:val="005541AC"/>
    <w:rsid w:val="00554FCC"/>
    <w:rsid w:val="0057023A"/>
    <w:rsid w:val="005731BB"/>
    <w:rsid w:val="00576145"/>
    <w:rsid w:val="00594175"/>
    <w:rsid w:val="00595433"/>
    <w:rsid w:val="00597A10"/>
    <w:rsid w:val="00597D99"/>
    <w:rsid w:val="005A530B"/>
    <w:rsid w:val="005B17BD"/>
    <w:rsid w:val="005B360F"/>
    <w:rsid w:val="005B5CA2"/>
    <w:rsid w:val="005C07D9"/>
    <w:rsid w:val="005C46ED"/>
    <w:rsid w:val="005D38D7"/>
    <w:rsid w:val="005E0791"/>
    <w:rsid w:val="005E18FD"/>
    <w:rsid w:val="005E214E"/>
    <w:rsid w:val="005E2363"/>
    <w:rsid w:val="005E7C9E"/>
    <w:rsid w:val="005F34F2"/>
    <w:rsid w:val="006022F8"/>
    <w:rsid w:val="00625372"/>
    <w:rsid w:val="006301E2"/>
    <w:rsid w:val="00633319"/>
    <w:rsid w:val="006447F2"/>
    <w:rsid w:val="0064552F"/>
    <w:rsid w:val="00646F1C"/>
    <w:rsid w:val="00650DD8"/>
    <w:rsid w:val="00657435"/>
    <w:rsid w:val="00671F1E"/>
    <w:rsid w:val="006721FC"/>
    <w:rsid w:val="00675F43"/>
    <w:rsid w:val="0068354F"/>
    <w:rsid w:val="00684960"/>
    <w:rsid w:val="00684AF1"/>
    <w:rsid w:val="0069140E"/>
    <w:rsid w:val="00692499"/>
    <w:rsid w:val="006A4E28"/>
    <w:rsid w:val="006B2BAB"/>
    <w:rsid w:val="006B5E9B"/>
    <w:rsid w:val="006D041E"/>
    <w:rsid w:val="006D2CF2"/>
    <w:rsid w:val="006E1399"/>
    <w:rsid w:val="006E6A5B"/>
    <w:rsid w:val="006F0D75"/>
    <w:rsid w:val="00700D9A"/>
    <w:rsid w:val="0070282E"/>
    <w:rsid w:val="00702FC0"/>
    <w:rsid w:val="0070743C"/>
    <w:rsid w:val="007204A8"/>
    <w:rsid w:val="007310F6"/>
    <w:rsid w:val="00742CE5"/>
    <w:rsid w:val="00746A5A"/>
    <w:rsid w:val="00750552"/>
    <w:rsid w:val="00760879"/>
    <w:rsid w:val="0078643E"/>
    <w:rsid w:val="0079081D"/>
    <w:rsid w:val="007A0D28"/>
    <w:rsid w:val="007A4EB5"/>
    <w:rsid w:val="007C556F"/>
    <w:rsid w:val="007D07B5"/>
    <w:rsid w:val="007E2524"/>
    <w:rsid w:val="007F2B54"/>
    <w:rsid w:val="007F56EE"/>
    <w:rsid w:val="00801FE6"/>
    <w:rsid w:val="00805BEF"/>
    <w:rsid w:val="00807807"/>
    <w:rsid w:val="00810362"/>
    <w:rsid w:val="00820169"/>
    <w:rsid w:val="00822E30"/>
    <w:rsid w:val="00825EF3"/>
    <w:rsid w:val="00830F48"/>
    <w:rsid w:val="00832728"/>
    <w:rsid w:val="00832DCC"/>
    <w:rsid w:val="00833A0B"/>
    <w:rsid w:val="008407A1"/>
    <w:rsid w:val="00841187"/>
    <w:rsid w:val="008472E5"/>
    <w:rsid w:val="0085185D"/>
    <w:rsid w:val="00854916"/>
    <w:rsid w:val="00862202"/>
    <w:rsid w:val="008630CE"/>
    <w:rsid w:val="00864AB0"/>
    <w:rsid w:val="00870A37"/>
    <w:rsid w:val="00871A0C"/>
    <w:rsid w:val="00872027"/>
    <w:rsid w:val="00876BD3"/>
    <w:rsid w:val="00894C98"/>
    <w:rsid w:val="008959F6"/>
    <w:rsid w:val="008972CC"/>
    <w:rsid w:val="008A0F6C"/>
    <w:rsid w:val="008A17DC"/>
    <w:rsid w:val="008A4362"/>
    <w:rsid w:val="008B5F05"/>
    <w:rsid w:val="008C1920"/>
    <w:rsid w:val="008C5104"/>
    <w:rsid w:val="008D2FF1"/>
    <w:rsid w:val="008E1535"/>
    <w:rsid w:val="008E2B2B"/>
    <w:rsid w:val="008E3ABB"/>
    <w:rsid w:val="008E3EA0"/>
    <w:rsid w:val="008E64A1"/>
    <w:rsid w:val="0090773A"/>
    <w:rsid w:val="00910130"/>
    <w:rsid w:val="009155E1"/>
    <w:rsid w:val="009178BB"/>
    <w:rsid w:val="009208DF"/>
    <w:rsid w:val="009222FE"/>
    <w:rsid w:val="009228CA"/>
    <w:rsid w:val="009257BB"/>
    <w:rsid w:val="00931600"/>
    <w:rsid w:val="0093267F"/>
    <w:rsid w:val="00933597"/>
    <w:rsid w:val="009408E4"/>
    <w:rsid w:val="009411D4"/>
    <w:rsid w:val="00945448"/>
    <w:rsid w:val="009550B3"/>
    <w:rsid w:val="00956F12"/>
    <w:rsid w:val="0096060A"/>
    <w:rsid w:val="00962A5A"/>
    <w:rsid w:val="00964BBC"/>
    <w:rsid w:val="00971866"/>
    <w:rsid w:val="00977885"/>
    <w:rsid w:val="009833A1"/>
    <w:rsid w:val="00983AFC"/>
    <w:rsid w:val="009915A2"/>
    <w:rsid w:val="00992718"/>
    <w:rsid w:val="0099633D"/>
    <w:rsid w:val="009C0342"/>
    <w:rsid w:val="009D2942"/>
    <w:rsid w:val="009D5ED5"/>
    <w:rsid w:val="009D66D5"/>
    <w:rsid w:val="009D7C37"/>
    <w:rsid w:val="009E4ACA"/>
    <w:rsid w:val="009E6F97"/>
    <w:rsid w:val="009E7AA2"/>
    <w:rsid w:val="009F465B"/>
    <w:rsid w:val="009F70FF"/>
    <w:rsid w:val="00A018C1"/>
    <w:rsid w:val="00A13654"/>
    <w:rsid w:val="00A24721"/>
    <w:rsid w:val="00A255EE"/>
    <w:rsid w:val="00A2734C"/>
    <w:rsid w:val="00A31448"/>
    <w:rsid w:val="00A32CF6"/>
    <w:rsid w:val="00A42562"/>
    <w:rsid w:val="00A4492E"/>
    <w:rsid w:val="00A472D3"/>
    <w:rsid w:val="00A473F5"/>
    <w:rsid w:val="00A52487"/>
    <w:rsid w:val="00A57451"/>
    <w:rsid w:val="00A622CB"/>
    <w:rsid w:val="00A713C9"/>
    <w:rsid w:val="00A81A52"/>
    <w:rsid w:val="00A8766E"/>
    <w:rsid w:val="00A90114"/>
    <w:rsid w:val="00A90451"/>
    <w:rsid w:val="00A96E23"/>
    <w:rsid w:val="00AA0C9A"/>
    <w:rsid w:val="00AA0E20"/>
    <w:rsid w:val="00AC2F00"/>
    <w:rsid w:val="00AC377A"/>
    <w:rsid w:val="00AC65E1"/>
    <w:rsid w:val="00AD44FA"/>
    <w:rsid w:val="00AD6ED9"/>
    <w:rsid w:val="00AF4E61"/>
    <w:rsid w:val="00B01492"/>
    <w:rsid w:val="00B01E3A"/>
    <w:rsid w:val="00B15752"/>
    <w:rsid w:val="00B17447"/>
    <w:rsid w:val="00B21DC4"/>
    <w:rsid w:val="00B330AC"/>
    <w:rsid w:val="00B345F5"/>
    <w:rsid w:val="00B3574E"/>
    <w:rsid w:val="00B43CA3"/>
    <w:rsid w:val="00B45964"/>
    <w:rsid w:val="00B526C7"/>
    <w:rsid w:val="00B54777"/>
    <w:rsid w:val="00B619AB"/>
    <w:rsid w:val="00B63C5E"/>
    <w:rsid w:val="00B71694"/>
    <w:rsid w:val="00B80A6F"/>
    <w:rsid w:val="00B84272"/>
    <w:rsid w:val="00B93587"/>
    <w:rsid w:val="00B977C9"/>
    <w:rsid w:val="00BA0C25"/>
    <w:rsid w:val="00BA414C"/>
    <w:rsid w:val="00BA45DC"/>
    <w:rsid w:val="00BA54CA"/>
    <w:rsid w:val="00BB06C2"/>
    <w:rsid w:val="00BB2A28"/>
    <w:rsid w:val="00BB3E7A"/>
    <w:rsid w:val="00BB5D26"/>
    <w:rsid w:val="00BB5FA3"/>
    <w:rsid w:val="00BB6A93"/>
    <w:rsid w:val="00BC5042"/>
    <w:rsid w:val="00BC7A00"/>
    <w:rsid w:val="00BD234E"/>
    <w:rsid w:val="00BD40B9"/>
    <w:rsid w:val="00BE453B"/>
    <w:rsid w:val="00BF33F7"/>
    <w:rsid w:val="00BF654B"/>
    <w:rsid w:val="00C106C3"/>
    <w:rsid w:val="00C12F04"/>
    <w:rsid w:val="00C157EF"/>
    <w:rsid w:val="00C16B0D"/>
    <w:rsid w:val="00C20064"/>
    <w:rsid w:val="00C261CC"/>
    <w:rsid w:val="00C30EBA"/>
    <w:rsid w:val="00C31625"/>
    <w:rsid w:val="00C343AE"/>
    <w:rsid w:val="00C36CC8"/>
    <w:rsid w:val="00C47970"/>
    <w:rsid w:val="00C5233C"/>
    <w:rsid w:val="00C603EA"/>
    <w:rsid w:val="00C60C05"/>
    <w:rsid w:val="00C63B7D"/>
    <w:rsid w:val="00C64AFA"/>
    <w:rsid w:val="00C64D70"/>
    <w:rsid w:val="00C674B3"/>
    <w:rsid w:val="00C75F0E"/>
    <w:rsid w:val="00C803CF"/>
    <w:rsid w:val="00C93E85"/>
    <w:rsid w:val="00C943C8"/>
    <w:rsid w:val="00CB222F"/>
    <w:rsid w:val="00CB5834"/>
    <w:rsid w:val="00CC1108"/>
    <w:rsid w:val="00CC5B68"/>
    <w:rsid w:val="00CC78B7"/>
    <w:rsid w:val="00CF0748"/>
    <w:rsid w:val="00CF7A75"/>
    <w:rsid w:val="00D02F95"/>
    <w:rsid w:val="00D04898"/>
    <w:rsid w:val="00D04D7E"/>
    <w:rsid w:val="00D20EB6"/>
    <w:rsid w:val="00D3026A"/>
    <w:rsid w:val="00D3258B"/>
    <w:rsid w:val="00D36BC6"/>
    <w:rsid w:val="00D36D01"/>
    <w:rsid w:val="00D36D66"/>
    <w:rsid w:val="00D45AC4"/>
    <w:rsid w:val="00D4657E"/>
    <w:rsid w:val="00D56969"/>
    <w:rsid w:val="00D57EFB"/>
    <w:rsid w:val="00D62F4C"/>
    <w:rsid w:val="00D717FC"/>
    <w:rsid w:val="00D77B51"/>
    <w:rsid w:val="00D83280"/>
    <w:rsid w:val="00D91FCA"/>
    <w:rsid w:val="00D9252E"/>
    <w:rsid w:val="00D94094"/>
    <w:rsid w:val="00D94CC3"/>
    <w:rsid w:val="00D96797"/>
    <w:rsid w:val="00DA0496"/>
    <w:rsid w:val="00DA0870"/>
    <w:rsid w:val="00DA3183"/>
    <w:rsid w:val="00DC3FA8"/>
    <w:rsid w:val="00DD64B0"/>
    <w:rsid w:val="00DF0337"/>
    <w:rsid w:val="00E03D1C"/>
    <w:rsid w:val="00E10486"/>
    <w:rsid w:val="00E126F9"/>
    <w:rsid w:val="00E20170"/>
    <w:rsid w:val="00E24B55"/>
    <w:rsid w:val="00E2687A"/>
    <w:rsid w:val="00E32E68"/>
    <w:rsid w:val="00E36A33"/>
    <w:rsid w:val="00E43FEF"/>
    <w:rsid w:val="00E46E54"/>
    <w:rsid w:val="00E51B88"/>
    <w:rsid w:val="00E53457"/>
    <w:rsid w:val="00E5414D"/>
    <w:rsid w:val="00E55E32"/>
    <w:rsid w:val="00E72AC4"/>
    <w:rsid w:val="00E738AD"/>
    <w:rsid w:val="00E82EB1"/>
    <w:rsid w:val="00E87FA9"/>
    <w:rsid w:val="00E92EAE"/>
    <w:rsid w:val="00E932BD"/>
    <w:rsid w:val="00EA58E7"/>
    <w:rsid w:val="00EA7F2E"/>
    <w:rsid w:val="00EB1967"/>
    <w:rsid w:val="00ED3AC5"/>
    <w:rsid w:val="00ED3C15"/>
    <w:rsid w:val="00ED5106"/>
    <w:rsid w:val="00EE2E47"/>
    <w:rsid w:val="00EE392F"/>
    <w:rsid w:val="00EE43A1"/>
    <w:rsid w:val="00EF5E52"/>
    <w:rsid w:val="00EF6500"/>
    <w:rsid w:val="00F00FCA"/>
    <w:rsid w:val="00F02125"/>
    <w:rsid w:val="00F03AC7"/>
    <w:rsid w:val="00F040B4"/>
    <w:rsid w:val="00F07501"/>
    <w:rsid w:val="00F12AA6"/>
    <w:rsid w:val="00F168FA"/>
    <w:rsid w:val="00F16A57"/>
    <w:rsid w:val="00F21277"/>
    <w:rsid w:val="00F23116"/>
    <w:rsid w:val="00F23A67"/>
    <w:rsid w:val="00F339A0"/>
    <w:rsid w:val="00F345F6"/>
    <w:rsid w:val="00F35319"/>
    <w:rsid w:val="00F41A54"/>
    <w:rsid w:val="00F4487A"/>
    <w:rsid w:val="00F44F2A"/>
    <w:rsid w:val="00F47E08"/>
    <w:rsid w:val="00F47F76"/>
    <w:rsid w:val="00F51959"/>
    <w:rsid w:val="00F713B8"/>
    <w:rsid w:val="00F7549B"/>
    <w:rsid w:val="00F8587F"/>
    <w:rsid w:val="00F86686"/>
    <w:rsid w:val="00F9086F"/>
    <w:rsid w:val="00F916A4"/>
    <w:rsid w:val="00F93C60"/>
    <w:rsid w:val="00FB74DE"/>
    <w:rsid w:val="00FB7F2A"/>
    <w:rsid w:val="00FC1993"/>
    <w:rsid w:val="00FC24C1"/>
    <w:rsid w:val="00FC388D"/>
    <w:rsid w:val="00FD3F06"/>
    <w:rsid w:val="00FD446D"/>
    <w:rsid w:val="00FD4622"/>
    <w:rsid w:val="00FD6678"/>
    <w:rsid w:val="00FE1299"/>
    <w:rsid w:val="00FE4491"/>
    <w:rsid w:val="00FE7461"/>
    <w:rsid w:val="00FF4F7F"/>
    <w:rsid w:val="0E5D2725"/>
    <w:rsid w:val="3E36E149"/>
    <w:rsid w:val="4EE3D7AA"/>
    <w:rsid w:val="7C5C0DC8"/>
  </w:rsids>
  <m:mathPr>
    <m:mathFont m:val="Cambria Math"/>
    <m:brkBin m:val="before"/>
    <m:brkBinSub m:val="--"/>
    <m:smallFrac m:val="0"/>
    <m:dispDef/>
    <m:lMargin m:val="0"/>
    <m:rMargin m:val="0"/>
    <m:defJc m:val="centerGroup"/>
    <m:wrapIndent m:val="1440"/>
    <m:intLim m:val="subSup"/>
    <m:naryLim m:val="undOvr"/>
  </m:mathPr>
  <w:themeFontLang w:val="es-ES_tradnl"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1032D1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73F5"/>
    <w:rPr>
      <w:rFonts w:ascii="Times New Roman" w:hAnsi="Times New Roman"/>
      <w:sz w:val="24"/>
      <w:szCs w:val="24"/>
      <w:lang w:eastAsia="es-ES_tradnl"/>
    </w:rPr>
  </w:style>
  <w:style w:type="paragraph" w:styleId="Ttulo1">
    <w:name w:val="heading 1"/>
    <w:basedOn w:val="Normal"/>
    <w:link w:val="Ttulo1Car"/>
    <w:uiPriority w:val="9"/>
    <w:qFormat/>
    <w:rsid w:val="00B17447"/>
    <w:pPr>
      <w:spacing w:before="100" w:beforeAutospacing="1" w:after="100" w:afterAutospacing="1"/>
      <w:outlineLvl w:val="0"/>
    </w:pPr>
    <w:rPr>
      <w:b/>
      <w:bCs/>
      <w:kern w:val="36"/>
      <w:sz w:val="48"/>
      <w:szCs w:val="48"/>
    </w:rPr>
  </w:style>
  <w:style w:type="paragraph" w:styleId="Ttulo2">
    <w:name w:val="heading 2"/>
    <w:basedOn w:val="Normal"/>
    <w:link w:val="Ttulo2Car"/>
    <w:uiPriority w:val="9"/>
    <w:qFormat/>
    <w:rsid w:val="00B17447"/>
    <w:pPr>
      <w:spacing w:before="100" w:beforeAutospacing="1" w:after="100" w:afterAutospacing="1"/>
      <w:outlineLvl w:val="1"/>
    </w:pPr>
    <w:rPr>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92718"/>
    <w:pPr>
      <w:tabs>
        <w:tab w:val="center" w:pos="4419"/>
        <w:tab w:val="right" w:pos="8838"/>
      </w:tabs>
    </w:pPr>
    <w:rPr>
      <w:rFonts w:ascii="Calibri" w:hAnsi="Calibri"/>
      <w:sz w:val="20"/>
      <w:szCs w:val="20"/>
      <w:lang w:val="es-CO" w:eastAsia="x-none"/>
    </w:rPr>
  </w:style>
  <w:style w:type="character" w:customStyle="1" w:styleId="EncabezadoCar">
    <w:name w:val="Encabezado Car"/>
    <w:link w:val="Encabezado"/>
    <w:uiPriority w:val="99"/>
    <w:rsid w:val="00992718"/>
    <w:rPr>
      <w:rFonts w:ascii="Calibri" w:eastAsia="Calibri" w:hAnsi="Calibri" w:cs="Times New Roman"/>
      <w:lang w:val="es-CO"/>
    </w:rPr>
  </w:style>
  <w:style w:type="character" w:styleId="Refdecomentario">
    <w:name w:val="annotation reference"/>
    <w:uiPriority w:val="99"/>
    <w:semiHidden/>
    <w:unhideWhenUsed/>
    <w:rsid w:val="003A39FA"/>
    <w:rPr>
      <w:sz w:val="16"/>
      <w:szCs w:val="16"/>
    </w:rPr>
  </w:style>
  <w:style w:type="paragraph" w:styleId="Textocomentario">
    <w:name w:val="annotation text"/>
    <w:basedOn w:val="Normal"/>
    <w:link w:val="TextocomentarioCar"/>
    <w:uiPriority w:val="99"/>
    <w:unhideWhenUsed/>
    <w:rsid w:val="003A39FA"/>
    <w:rPr>
      <w:sz w:val="20"/>
      <w:szCs w:val="20"/>
    </w:rPr>
  </w:style>
  <w:style w:type="character" w:customStyle="1" w:styleId="TextocomentarioCar">
    <w:name w:val="Texto comentario Car"/>
    <w:link w:val="Textocomentario"/>
    <w:uiPriority w:val="99"/>
    <w:rsid w:val="003A39FA"/>
    <w:rPr>
      <w:lang w:val="es-CO" w:eastAsia="en-US"/>
    </w:rPr>
  </w:style>
  <w:style w:type="paragraph" w:styleId="Asuntodelcomentario">
    <w:name w:val="annotation subject"/>
    <w:basedOn w:val="Textocomentario"/>
    <w:next w:val="Textocomentario"/>
    <w:link w:val="AsuntodelcomentarioCar"/>
    <w:uiPriority w:val="99"/>
    <w:semiHidden/>
    <w:unhideWhenUsed/>
    <w:rsid w:val="003A39FA"/>
    <w:rPr>
      <w:b/>
      <w:bCs/>
    </w:rPr>
  </w:style>
  <w:style w:type="character" w:customStyle="1" w:styleId="AsuntodelcomentarioCar">
    <w:name w:val="Asunto del comentario Car"/>
    <w:link w:val="Asuntodelcomentario"/>
    <w:uiPriority w:val="99"/>
    <w:semiHidden/>
    <w:rsid w:val="003A39FA"/>
    <w:rPr>
      <w:b/>
      <w:bCs/>
      <w:lang w:val="es-CO" w:eastAsia="en-US"/>
    </w:rPr>
  </w:style>
  <w:style w:type="paragraph" w:styleId="Textodeglobo">
    <w:name w:val="Balloon Text"/>
    <w:basedOn w:val="Normal"/>
    <w:link w:val="TextodegloboCar"/>
    <w:uiPriority w:val="99"/>
    <w:semiHidden/>
    <w:unhideWhenUsed/>
    <w:rsid w:val="003A39FA"/>
    <w:rPr>
      <w:rFonts w:ascii="Tahoma" w:hAnsi="Tahoma"/>
      <w:sz w:val="16"/>
      <w:szCs w:val="16"/>
    </w:rPr>
  </w:style>
  <w:style w:type="character" w:customStyle="1" w:styleId="TextodegloboCar">
    <w:name w:val="Texto de globo Car"/>
    <w:link w:val="Textodeglobo"/>
    <w:uiPriority w:val="99"/>
    <w:semiHidden/>
    <w:rsid w:val="003A39FA"/>
    <w:rPr>
      <w:rFonts w:ascii="Tahoma" w:hAnsi="Tahoma" w:cs="Tahoma"/>
      <w:sz w:val="16"/>
      <w:szCs w:val="16"/>
      <w:lang w:val="es-CO" w:eastAsia="en-US"/>
    </w:rPr>
  </w:style>
  <w:style w:type="paragraph" w:styleId="Piedepgina">
    <w:name w:val="footer"/>
    <w:basedOn w:val="Normal"/>
    <w:link w:val="PiedepginaCar"/>
    <w:uiPriority w:val="99"/>
    <w:unhideWhenUsed/>
    <w:rsid w:val="005B7371"/>
    <w:pPr>
      <w:tabs>
        <w:tab w:val="center" w:pos="4252"/>
        <w:tab w:val="right" w:pos="8504"/>
      </w:tabs>
      <w:spacing w:after="200" w:line="276" w:lineRule="auto"/>
    </w:pPr>
    <w:rPr>
      <w:rFonts w:ascii="Calibri" w:hAnsi="Calibri"/>
      <w:sz w:val="22"/>
      <w:szCs w:val="22"/>
      <w:lang w:val="es-CO" w:eastAsia="en-US"/>
    </w:rPr>
  </w:style>
  <w:style w:type="character" w:customStyle="1" w:styleId="PiedepginaCar">
    <w:name w:val="Pie de página Car"/>
    <w:link w:val="Piedepgina"/>
    <w:uiPriority w:val="99"/>
    <w:rsid w:val="005B7371"/>
    <w:rPr>
      <w:sz w:val="22"/>
      <w:szCs w:val="22"/>
      <w:lang w:val="es-CO" w:eastAsia="en-US"/>
    </w:rPr>
  </w:style>
  <w:style w:type="paragraph" w:styleId="Prrafodelista">
    <w:name w:val="List Paragraph"/>
    <w:basedOn w:val="Normal"/>
    <w:uiPriority w:val="34"/>
    <w:qFormat/>
    <w:rsid w:val="00EC3113"/>
    <w:pPr>
      <w:spacing w:after="200" w:line="276" w:lineRule="auto"/>
      <w:ind w:left="720"/>
      <w:contextualSpacing/>
    </w:pPr>
    <w:rPr>
      <w:rFonts w:ascii="Calibri" w:hAnsi="Calibri"/>
      <w:sz w:val="22"/>
      <w:szCs w:val="22"/>
      <w:lang w:val="es-CO" w:eastAsia="en-US"/>
    </w:rPr>
  </w:style>
  <w:style w:type="character" w:styleId="Hipervnculo">
    <w:name w:val="Hyperlink"/>
    <w:uiPriority w:val="99"/>
    <w:rsid w:val="00953CA3"/>
    <w:rPr>
      <w:color w:val="0000FF"/>
      <w:u w:val="single"/>
    </w:rPr>
  </w:style>
  <w:style w:type="character" w:styleId="Hipervnculovisitado">
    <w:name w:val="FollowedHyperlink"/>
    <w:uiPriority w:val="99"/>
    <w:semiHidden/>
    <w:unhideWhenUsed/>
    <w:rsid w:val="00DB7B75"/>
    <w:rPr>
      <w:color w:val="800080"/>
      <w:u w:val="single"/>
    </w:rPr>
  </w:style>
  <w:style w:type="table" w:styleId="Tablaconcuadrcula">
    <w:name w:val="Table Grid"/>
    <w:basedOn w:val="Tablanormal"/>
    <w:uiPriority w:val="59"/>
    <w:rsid w:val="00DC11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21277"/>
    <w:pPr>
      <w:spacing w:before="100" w:beforeAutospacing="1" w:after="100" w:afterAutospacing="1"/>
    </w:pPr>
    <w:rPr>
      <w:rFonts w:ascii="Times" w:hAnsi="Times"/>
      <w:sz w:val="20"/>
      <w:szCs w:val="20"/>
      <w:lang w:eastAsia="en-US"/>
    </w:rPr>
  </w:style>
  <w:style w:type="paragraph" w:customStyle="1" w:styleId="Cuadrculamedia1-nfasis21">
    <w:name w:val="Cuadrícula media 1 - Énfasis 21"/>
    <w:basedOn w:val="Normal"/>
    <w:uiPriority w:val="34"/>
    <w:qFormat/>
    <w:rsid w:val="00D02F95"/>
    <w:pPr>
      <w:spacing w:after="200" w:line="276" w:lineRule="auto"/>
      <w:ind w:left="720"/>
      <w:contextualSpacing/>
    </w:pPr>
    <w:rPr>
      <w:rFonts w:ascii="Calibri" w:hAnsi="Calibri"/>
      <w:sz w:val="22"/>
      <w:szCs w:val="22"/>
      <w:lang w:val="es-CO" w:eastAsia="en-US"/>
    </w:rPr>
  </w:style>
  <w:style w:type="paragraph" w:styleId="Textonotapie">
    <w:name w:val="footnote text"/>
    <w:basedOn w:val="Normal"/>
    <w:link w:val="TextonotapieCar"/>
    <w:rsid w:val="00D02F95"/>
    <w:rPr>
      <w:rFonts w:ascii="Arial" w:eastAsia="Times New Roman" w:hAnsi="Arial"/>
      <w:sz w:val="20"/>
      <w:szCs w:val="20"/>
      <w:lang w:val="es-ES" w:eastAsia="es-ES"/>
    </w:rPr>
  </w:style>
  <w:style w:type="character" w:customStyle="1" w:styleId="TextonotapieCar">
    <w:name w:val="Texto nota pie Car"/>
    <w:basedOn w:val="Fuentedeprrafopredeter"/>
    <w:link w:val="Textonotapie"/>
    <w:rsid w:val="00D02F95"/>
    <w:rPr>
      <w:rFonts w:ascii="Arial" w:eastAsia="Times New Roman" w:hAnsi="Arial"/>
      <w:lang w:val="es-ES"/>
    </w:rPr>
  </w:style>
  <w:style w:type="character" w:styleId="Refdenotaalpie">
    <w:name w:val="footnote reference"/>
    <w:rsid w:val="00D02F95"/>
    <w:rPr>
      <w:vertAlign w:val="superscript"/>
    </w:rPr>
  </w:style>
  <w:style w:type="character" w:customStyle="1" w:styleId="apple-converted-space">
    <w:name w:val="apple-converted-space"/>
    <w:rsid w:val="00D02F95"/>
  </w:style>
  <w:style w:type="paragraph" w:styleId="Bibliografa">
    <w:name w:val="Bibliography"/>
    <w:basedOn w:val="Normal"/>
    <w:next w:val="Normal"/>
    <w:uiPriority w:val="37"/>
    <w:semiHidden/>
    <w:unhideWhenUsed/>
    <w:rsid w:val="000D77CD"/>
  </w:style>
  <w:style w:type="character" w:customStyle="1" w:styleId="Ttulo1Car">
    <w:name w:val="Título 1 Car"/>
    <w:basedOn w:val="Fuentedeprrafopredeter"/>
    <w:link w:val="Ttulo1"/>
    <w:uiPriority w:val="9"/>
    <w:rsid w:val="00B17447"/>
    <w:rPr>
      <w:rFonts w:ascii="Times New Roman" w:hAnsi="Times New Roman"/>
      <w:b/>
      <w:bCs/>
      <w:kern w:val="36"/>
      <w:sz w:val="48"/>
      <w:szCs w:val="48"/>
      <w:lang w:eastAsia="es-ES_tradnl"/>
    </w:rPr>
  </w:style>
  <w:style w:type="character" w:customStyle="1" w:styleId="Ttulo2Car">
    <w:name w:val="Título 2 Car"/>
    <w:basedOn w:val="Fuentedeprrafopredeter"/>
    <w:link w:val="Ttulo2"/>
    <w:uiPriority w:val="9"/>
    <w:rsid w:val="00B17447"/>
    <w:rPr>
      <w:rFonts w:ascii="Times New Roman" w:hAnsi="Times New Roman"/>
      <w:b/>
      <w:bCs/>
      <w:sz w:val="36"/>
      <w:szCs w:val="36"/>
      <w:lang w:eastAsia="es-ES_tradnl"/>
    </w:rPr>
  </w:style>
  <w:style w:type="paragraph" w:customStyle="1" w:styleId="a">
    <w:basedOn w:val="Normal"/>
    <w:next w:val="Textoindependiente"/>
    <w:link w:val="TextodecuerpoCar"/>
    <w:rsid w:val="009257BB"/>
    <w:pPr>
      <w:jc w:val="both"/>
    </w:pPr>
    <w:rPr>
      <w:rFonts w:ascii="Arial" w:eastAsia="Times New Roman" w:hAnsi="Arial"/>
      <w:lang w:eastAsia="es-ES"/>
    </w:rPr>
  </w:style>
  <w:style w:type="character" w:customStyle="1" w:styleId="TextodecuerpoCar">
    <w:name w:val="Texto de cuerpo Car"/>
    <w:link w:val="a"/>
    <w:rsid w:val="009257BB"/>
    <w:rPr>
      <w:rFonts w:ascii="Arial" w:eastAsia="Times New Roman" w:hAnsi="Arial"/>
      <w:sz w:val="24"/>
      <w:szCs w:val="24"/>
      <w:lang w:eastAsia="es-ES"/>
    </w:rPr>
  </w:style>
  <w:style w:type="paragraph" w:styleId="Textoindependiente">
    <w:name w:val="Body Text"/>
    <w:basedOn w:val="Normal"/>
    <w:link w:val="TextoindependienteCar"/>
    <w:uiPriority w:val="99"/>
    <w:unhideWhenUsed/>
    <w:rsid w:val="009257BB"/>
    <w:pPr>
      <w:spacing w:after="120"/>
    </w:pPr>
  </w:style>
  <w:style w:type="character" w:customStyle="1" w:styleId="TextoindependienteCar">
    <w:name w:val="Texto independiente Car"/>
    <w:basedOn w:val="Fuentedeprrafopredeter"/>
    <w:link w:val="Textoindependiente"/>
    <w:uiPriority w:val="99"/>
    <w:rsid w:val="009257BB"/>
    <w:rPr>
      <w:rFonts w:ascii="Times New Roman" w:hAnsi="Times New Roman"/>
      <w:sz w:val="24"/>
      <w:szCs w:val="24"/>
      <w:lang w:eastAsia="es-ES_tradnl"/>
    </w:rPr>
  </w:style>
  <w:style w:type="paragraph" w:styleId="Revisin">
    <w:name w:val="Revision"/>
    <w:hidden/>
    <w:uiPriority w:val="71"/>
    <w:semiHidden/>
    <w:rsid w:val="003758A4"/>
    <w:rPr>
      <w:rFonts w:ascii="Times New Roman" w:hAnsi="Times New Roman"/>
      <w:sz w:val="24"/>
      <w:szCs w:val="24"/>
      <w:lang w:eastAsia="es-ES_tradnl"/>
    </w:rPr>
  </w:style>
  <w:style w:type="paragraph" w:styleId="Sinespaciado">
    <w:name w:val="No Spacing"/>
    <w:uiPriority w:val="1"/>
    <w:qFormat/>
    <w:rsid w:val="009208DF"/>
    <w:rPr>
      <w:rFonts w:asciiTheme="minorHAnsi" w:eastAsiaTheme="minorEastAsia" w:hAnsiTheme="minorHAnsi" w:cstheme="minorBidi"/>
      <w:sz w:val="24"/>
      <w:szCs w:val="24"/>
    </w:rPr>
  </w:style>
  <w:style w:type="table" w:customStyle="1" w:styleId="TableGrid1">
    <w:name w:val="Table Grid1"/>
    <w:basedOn w:val="Tablanormal"/>
    <w:next w:val="Tablaconcuadrcula"/>
    <w:uiPriority w:val="59"/>
    <w:rsid w:val="00FF4F7F"/>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4">
    <w:name w:val="Plain Table 4"/>
    <w:basedOn w:val="Tablanormal"/>
    <w:uiPriority w:val="44"/>
    <w:rsid w:val="00386C4D"/>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3">
    <w:name w:val="Plain Table 3"/>
    <w:basedOn w:val="Tablanormal"/>
    <w:uiPriority w:val="43"/>
    <w:rsid w:val="00386C4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concuadrculaclara">
    <w:name w:val="Grid Table Light"/>
    <w:basedOn w:val="Tablanormal"/>
    <w:uiPriority w:val="40"/>
    <w:rsid w:val="00386C4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11327">
      <w:bodyDiv w:val="1"/>
      <w:marLeft w:val="0"/>
      <w:marRight w:val="0"/>
      <w:marTop w:val="0"/>
      <w:marBottom w:val="0"/>
      <w:divBdr>
        <w:top w:val="none" w:sz="0" w:space="0" w:color="auto"/>
        <w:left w:val="none" w:sz="0" w:space="0" w:color="auto"/>
        <w:bottom w:val="none" w:sz="0" w:space="0" w:color="auto"/>
        <w:right w:val="none" w:sz="0" w:space="0" w:color="auto"/>
      </w:divBdr>
    </w:div>
    <w:div w:id="57094219">
      <w:bodyDiv w:val="1"/>
      <w:marLeft w:val="0"/>
      <w:marRight w:val="0"/>
      <w:marTop w:val="0"/>
      <w:marBottom w:val="0"/>
      <w:divBdr>
        <w:top w:val="none" w:sz="0" w:space="0" w:color="auto"/>
        <w:left w:val="none" w:sz="0" w:space="0" w:color="auto"/>
        <w:bottom w:val="none" w:sz="0" w:space="0" w:color="auto"/>
        <w:right w:val="none" w:sz="0" w:space="0" w:color="auto"/>
      </w:divBdr>
    </w:div>
    <w:div w:id="64225514">
      <w:bodyDiv w:val="1"/>
      <w:marLeft w:val="0"/>
      <w:marRight w:val="0"/>
      <w:marTop w:val="0"/>
      <w:marBottom w:val="0"/>
      <w:divBdr>
        <w:top w:val="none" w:sz="0" w:space="0" w:color="auto"/>
        <w:left w:val="none" w:sz="0" w:space="0" w:color="auto"/>
        <w:bottom w:val="none" w:sz="0" w:space="0" w:color="auto"/>
        <w:right w:val="none" w:sz="0" w:space="0" w:color="auto"/>
      </w:divBdr>
    </w:div>
    <w:div w:id="97987403">
      <w:bodyDiv w:val="1"/>
      <w:marLeft w:val="0"/>
      <w:marRight w:val="0"/>
      <w:marTop w:val="0"/>
      <w:marBottom w:val="0"/>
      <w:divBdr>
        <w:top w:val="none" w:sz="0" w:space="0" w:color="auto"/>
        <w:left w:val="none" w:sz="0" w:space="0" w:color="auto"/>
        <w:bottom w:val="none" w:sz="0" w:space="0" w:color="auto"/>
        <w:right w:val="none" w:sz="0" w:space="0" w:color="auto"/>
      </w:divBdr>
    </w:div>
    <w:div w:id="133759766">
      <w:bodyDiv w:val="1"/>
      <w:marLeft w:val="0"/>
      <w:marRight w:val="0"/>
      <w:marTop w:val="0"/>
      <w:marBottom w:val="0"/>
      <w:divBdr>
        <w:top w:val="none" w:sz="0" w:space="0" w:color="auto"/>
        <w:left w:val="none" w:sz="0" w:space="0" w:color="auto"/>
        <w:bottom w:val="none" w:sz="0" w:space="0" w:color="auto"/>
        <w:right w:val="none" w:sz="0" w:space="0" w:color="auto"/>
      </w:divBdr>
    </w:div>
    <w:div w:id="155342990">
      <w:bodyDiv w:val="1"/>
      <w:marLeft w:val="0"/>
      <w:marRight w:val="0"/>
      <w:marTop w:val="0"/>
      <w:marBottom w:val="0"/>
      <w:divBdr>
        <w:top w:val="none" w:sz="0" w:space="0" w:color="auto"/>
        <w:left w:val="none" w:sz="0" w:space="0" w:color="auto"/>
        <w:bottom w:val="none" w:sz="0" w:space="0" w:color="auto"/>
        <w:right w:val="none" w:sz="0" w:space="0" w:color="auto"/>
      </w:divBdr>
    </w:div>
    <w:div w:id="231818821">
      <w:bodyDiv w:val="1"/>
      <w:marLeft w:val="0"/>
      <w:marRight w:val="0"/>
      <w:marTop w:val="0"/>
      <w:marBottom w:val="0"/>
      <w:divBdr>
        <w:top w:val="none" w:sz="0" w:space="0" w:color="auto"/>
        <w:left w:val="none" w:sz="0" w:space="0" w:color="auto"/>
        <w:bottom w:val="none" w:sz="0" w:space="0" w:color="auto"/>
        <w:right w:val="none" w:sz="0" w:space="0" w:color="auto"/>
      </w:divBdr>
    </w:div>
    <w:div w:id="268899913">
      <w:bodyDiv w:val="1"/>
      <w:marLeft w:val="0"/>
      <w:marRight w:val="0"/>
      <w:marTop w:val="0"/>
      <w:marBottom w:val="0"/>
      <w:divBdr>
        <w:top w:val="none" w:sz="0" w:space="0" w:color="auto"/>
        <w:left w:val="none" w:sz="0" w:space="0" w:color="auto"/>
        <w:bottom w:val="none" w:sz="0" w:space="0" w:color="auto"/>
        <w:right w:val="none" w:sz="0" w:space="0" w:color="auto"/>
      </w:divBdr>
      <w:divsChild>
        <w:div w:id="552429044">
          <w:marLeft w:val="0"/>
          <w:marRight w:val="0"/>
          <w:marTop w:val="0"/>
          <w:marBottom w:val="0"/>
          <w:divBdr>
            <w:top w:val="none" w:sz="0" w:space="0" w:color="auto"/>
            <w:left w:val="none" w:sz="0" w:space="0" w:color="auto"/>
            <w:bottom w:val="none" w:sz="0" w:space="0" w:color="auto"/>
            <w:right w:val="none" w:sz="0" w:space="0" w:color="auto"/>
          </w:divBdr>
          <w:divsChild>
            <w:div w:id="32192750">
              <w:marLeft w:val="0"/>
              <w:marRight w:val="0"/>
              <w:marTop w:val="0"/>
              <w:marBottom w:val="0"/>
              <w:divBdr>
                <w:top w:val="none" w:sz="0" w:space="0" w:color="auto"/>
                <w:left w:val="none" w:sz="0" w:space="0" w:color="auto"/>
                <w:bottom w:val="none" w:sz="0" w:space="0" w:color="auto"/>
                <w:right w:val="none" w:sz="0" w:space="0" w:color="auto"/>
              </w:divBdr>
              <w:divsChild>
                <w:div w:id="1413817997">
                  <w:marLeft w:val="0"/>
                  <w:marRight w:val="0"/>
                  <w:marTop w:val="0"/>
                  <w:marBottom w:val="0"/>
                  <w:divBdr>
                    <w:top w:val="none" w:sz="0" w:space="0" w:color="auto"/>
                    <w:left w:val="none" w:sz="0" w:space="0" w:color="auto"/>
                    <w:bottom w:val="none" w:sz="0" w:space="0" w:color="auto"/>
                    <w:right w:val="none" w:sz="0" w:space="0" w:color="auto"/>
                  </w:divBdr>
                  <w:divsChild>
                    <w:div w:id="964309234">
                      <w:marLeft w:val="0"/>
                      <w:marRight w:val="0"/>
                      <w:marTop w:val="0"/>
                      <w:marBottom w:val="0"/>
                      <w:divBdr>
                        <w:top w:val="none" w:sz="0" w:space="0" w:color="auto"/>
                        <w:left w:val="none" w:sz="0" w:space="0" w:color="auto"/>
                        <w:bottom w:val="none" w:sz="0" w:space="0" w:color="auto"/>
                        <w:right w:val="none" w:sz="0" w:space="0" w:color="auto"/>
                      </w:divBdr>
                      <w:divsChild>
                        <w:div w:id="19549558">
                          <w:marLeft w:val="0"/>
                          <w:marRight w:val="0"/>
                          <w:marTop w:val="0"/>
                          <w:marBottom w:val="0"/>
                          <w:divBdr>
                            <w:top w:val="none" w:sz="0" w:space="0" w:color="auto"/>
                            <w:left w:val="none" w:sz="0" w:space="0" w:color="auto"/>
                            <w:bottom w:val="none" w:sz="0" w:space="0" w:color="auto"/>
                            <w:right w:val="none" w:sz="0" w:space="0" w:color="auto"/>
                          </w:divBdr>
                          <w:divsChild>
                            <w:div w:id="1494417942">
                              <w:marLeft w:val="150"/>
                              <w:marRight w:val="150"/>
                              <w:marTop w:val="0"/>
                              <w:marBottom w:val="450"/>
                              <w:divBdr>
                                <w:top w:val="none" w:sz="0" w:space="0" w:color="auto"/>
                                <w:left w:val="single" w:sz="6" w:space="0" w:color="CCCCCC"/>
                                <w:bottom w:val="none" w:sz="0" w:space="0" w:color="auto"/>
                                <w:right w:val="single" w:sz="6" w:space="0" w:color="CCCCCC"/>
                              </w:divBdr>
                              <w:divsChild>
                                <w:div w:id="93791053">
                                  <w:marLeft w:val="0"/>
                                  <w:marRight w:val="0"/>
                                  <w:marTop w:val="0"/>
                                  <w:marBottom w:val="0"/>
                                  <w:divBdr>
                                    <w:top w:val="none" w:sz="0" w:space="0" w:color="auto"/>
                                    <w:left w:val="none" w:sz="0" w:space="0" w:color="auto"/>
                                    <w:bottom w:val="none" w:sz="0" w:space="0" w:color="auto"/>
                                    <w:right w:val="none" w:sz="0" w:space="0" w:color="auto"/>
                                  </w:divBdr>
                                  <w:divsChild>
                                    <w:div w:id="1575554136">
                                      <w:marLeft w:val="0"/>
                                      <w:marRight w:val="0"/>
                                      <w:marTop w:val="0"/>
                                      <w:marBottom w:val="0"/>
                                      <w:divBdr>
                                        <w:top w:val="none" w:sz="0" w:space="0" w:color="auto"/>
                                        <w:left w:val="none" w:sz="0" w:space="0" w:color="auto"/>
                                        <w:bottom w:val="none" w:sz="0" w:space="0" w:color="auto"/>
                                        <w:right w:val="none" w:sz="0" w:space="0" w:color="auto"/>
                                      </w:divBdr>
                                      <w:divsChild>
                                        <w:div w:id="2143301404">
                                          <w:marLeft w:val="0"/>
                                          <w:marRight w:val="0"/>
                                          <w:marTop w:val="300"/>
                                          <w:marBottom w:val="0"/>
                                          <w:divBdr>
                                            <w:top w:val="none" w:sz="0" w:space="0" w:color="auto"/>
                                            <w:left w:val="none" w:sz="0" w:space="0" w:color="auto"/>
                                            <w:bottom w:val="none" w:sz="0" w:space="0" w:color="auto"/>
                                            <w:right w:val="none" w:sz="0" w:space="0" w:color="auto"/>
                                          </w:divBdr>
                                          <w:divsChild>
                                            <w:div w:id="139545627">
                                              <w:marLeft w:val="0"/>
                                              <w:marRight w:val="0"/>
                                              <w:marTop w:val="0"/>
                                              <w:marBottom w:val="0"/>
                                              <w:divBdr>
                                                <w:top w:val="none" w:sz="0" w:space="0" w:color="auto"/>
                                                <w:left w:val="none" w:sz="0" w:space="0" w:color="auto"/>
                                                <w:bottom w:val="none" w:sz="0" w:space="0" w:color="auto"/>
                                                <w:right w:val="none" w:sz="0" w:space="0" w:color="auto"/>
                                              </w:divBdr>
                                              <w:divsChild>
                                                <w:div w:id="362904606">
                                                  <w:marLeft w:val="0"/>
                                                  <w:marRight w:val="0"/>
                                                  <w:marTop w:val="0"/>
                                                  <w:marBottom w:val="0"/>
                                                  <w:divBdr>
                                                    <w:top w:val="none" w:sz="0" w:space="0" w:color="auto"/>
                                                    <w:left w:val="none" w:sz="0" w:space="0" w:color="auto"/>
                                                    <w:bottom w:val="none" w:sz="0" w:space="0" w:color="auto"/>
                                                    <w:right w:val="none" w:sz="0" w:space="0" w:color="auto"/>
                                                  </w:divBdr>
                                                  <w:divsChild>
                                                    <w:div w:id="684943685">
                                                      <w:marLeft w:val="0"/>
                                                      <w:marRight w:val="0"/>
                                                      <w:marTop w:val="0"/>
                                                      <w:marBottom w:val="0"/>
                                                      <w:divBdr>
                                                        <w:top w:val="none" w:sz="0" w:space="0" w:color="auto"/>
                                                        <w:left w:val="none" w:sz="0" w:space="0" w:color="auto"/>
                                                        <w:bottom w:val="none" w:sz="0" w:space="0" w:color="auto"/>
                                                        <w:right w:val="none" w:sz="0" w:space="0" w:color="auto"/>
                                                      </w:divBdr>
                                                    </w:div>
                                                  </w:divsChild>
                                                </w:div>
                                                <w:div w:id="1710643623">
                                                  <w:marLeft w:val="0"/>
                                                  <w:marRight w:val="0"/>
                                                  <w:marTop w:val="0"/>
                                                  <w:marBottom w:val="0"/>
                                                  <w:divBdr>
                                                    <w:top w:val="none" w:sz="0" w:space="0" w:color="auto"/>
                                                    <w:left w:val="none" w:sz="0" w:space="0" w:color="auto"/>
                                                    <w:bottom w:val="none" w:sz="0" w:space="0" w:color="auto"/>
                                                    <w:right w:val="none" w:sz="0" w:space="0" w:color="auto"/>
                                                  </w:divBdr>
                                                  <w:divsChild>
                                                    <w:div w:id="74692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76904">
                                              <w:marLeft w:val="0"/>
                                              <w:marRight w:val="0"/>
                                              <w:marTop w:val="0"/>
                                              <w:marBottom w:val="0"/>
                                              <w:divBdr>
                                                <w:top w:val="none" w:sz="0" w:space="0" w:color="auto"/>
                                                <w:left w:val="none" w:sz="0" w:space="0" w:color="auto"/>
                                                <w:bottom w:val="none" w:sz="0" w:space="0" w:color="auto"/>
                                                <w:right w:val="none" w:sz="0" w:space="0" w:color="auto"/>
                                              </w:divBdr>
                                              <w:divsChild>
                                                <w:div w:id="1775319185">
                                                  <w:marLeft w:val="0"/>
                                                  <w:marRight w:val="0"/>
                                                  <w:marTop w:val="0"/>
                                                  <w:marBottom w:val="0"/>
                                                  <w:divBdr>
                                                    <w:top w:val="none" w:sz="0" w:space="0" w:color="auto"/>
                                                    <w:left w:val="none" w:sz="0" w:space="0" w:color="auto"/>
                                                    <w:bottom w:val="none" w:sz="0" w:space="0" w:color="auto"/>
                                                    <w:right w:val="none" w:sz="0" w:space="0" w:color="auto"/>
                                                  </w:divBdr>
                                                  <w:divsChild>
                                                    <w:div w:id="919605355">
                                                      <w:marLeft w:val="0"/>
                                                      <w:marRight w:val="0"/>
                                                      <w:marTop w:val="0"/>
                                                      <w:marBottom w:val="0"/>
                                                      <w:divBdr>
                                                        <w:top w:val="none" w:sz="0" w:space="0" w:color="auto"/>
                                                        <w:left w:val="none" w:sz="0" w:space="0" w:color="auto"/>
                                                        <w:bottom w:val="none" w:sz="0" w:space="0" w:color="auto"/>
                                                        <w:right w:val="none" w:sz="0" w:space="0" w:color="auto"/>
                                                      </w:divBdr>
                                                    </w:div>
                                                  </w:divsChild>
                                                </w:div>
                                                <w:div w:id="503128843">
                                                  <w:marLeft w:val="0"/>
                                                  <w:marRight w:val="0"/>
                                                  <w:marTop w:val="0"/>
                                                  <w:marBottom w:val="0"/>
                                                  <w:divBdr>
                                                    <w:top w:val="none" w:sz="0" w:space="0" w:color="auto"/>
                                                    <w:left w:val="none" w:sz="0" w:space="0" w:color="auto"/>
                                                    <w:bottom w:val="none" w:sz="0" w:space="0" w:color="auto"/>
                                                    <w:right w:val="none" w:sz="0" w:space="0" w:color="auto"/>
                                                  </w:divBdr>
                                                  <w:divsChild>
                                                    <w:div w:id="70379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470685">
                                              <w:marLeft w:val="0"/>
                                              <w:marRight w:val="0"/>
                                              <w:marTop w:val="0"/>
                                              <w:marBottom w:val="0"/>
                                              <w:divBdr>
                                                <w:top w:val="none" w:sz="0" w:space="0" w:color="auto"/>
                                                <w:left w:val="none" w:sz="0" w:space="0" w:color="auto"/>
                                                <w:bottom w:val="none" w:sz="0" w:space="0" w:color="auto"/>
                                                <w:right w:val="none" w:sz="0" w:space="0" w:color="auto"/>
                                              </w:divBdr>
                                              <w:divsChild>
                                                <w:div w:id="1035082396">
                                                  <w:marLeft w:val="0"/>
                                                  <w:marRight w:val="0"/>
                                                  <w:marTop w:val="0"/>
                                                  <w:marBottom w:val="0"/>
                                                  <w:divBdr>
                                                    <w:top w:val="none" w:sz="0" w:space="0" w:color="auto"/>
                                                    <w:left w:val="none" w:sz="0" w:space="0" w:color="auto"/>
                                                    <w:bottom w:val="none" w:sz="0" w:space="0" w:color="auto"/>
                                                    <w:right w:val="none" w:sz="0" w:space="0" w:color="auto"/>
                                                  </w:divBdr>
                                                  <w:divsChild>
                                                    <w:div w:id="1364987309">
                                                      <w:marLeft w:val="0"/>
                                                      <w:marRight w:val="0"/>
                                                      <w:marTop w:val="0"/>
                                                      <w:marBottom w:val="0"/>
                                                      <w:divBdr>
                                                        <w:top w:val="none" w:sz="0" w:space="0" w:color="auto"/>
                                                        <w:left w:val="none" w:sz="0" w:space="0" w:color="auto"/>
                                                        <w:bottom w:val="none" w:sz="0" w:space="0" w:color="auto"/>
                                                        <w:right w:val="none" w:sz="0" w:space="0" w:color="auto"/>
                                                      </w:divBdr>
                                                    </w:div>
                                                  </w:divsChild>
                                                </w:div>
                                                <w:div w:id="244648829">
                                                  <w:marLeft w:val="0"/>
                                                  <w:marRight w:val="0"/>
                                                  <w:marTop w:val="0"/>
                                                  <w:marBottom w:val="0"/>
                                                  <w:divBdr>
                                                    <w:top w:val="none" w:sz="0" w:space="0" w:color="auto"/>
                                                    <w:left w:val="none" w:sz="0" w:space="0" w:color="auto"/>
                                                    <w:bottom w:val="none" w:sz="0" w:space="0" w:color="auto"/>
                                                    <w:right w:val="none" w:sz="0" w:space="0" w:color="auto"/>
                                                  </w:divBdr>
                                                  <w:divsChild>
                                                    <w:div w:id="154744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100131">
                                              <w:marLeft w:val="0"/>
                                              <w:marRight w:val="0"/>
                                              <w:marTop w:val="0"/>
                                              <w:marBottom w:val="0"/>
                                              <w:divBdr>
                                                <w:top w:val="none" w:sz="0" w:space="0" w:color="auto"/>
                                                <w:left w:val="none" w:sz="0" w:space="0" w:color="auto"/>
                                                <w:bottom w:val="none" w:sz="0" w:space="0" w:color="auto"/>
                                                <w:right w:val="none" w:sz="0" w:space="0" w:color="auto"/>
                                              </w:divBdr>
                                              <w:divsChild>
                                                <w:div w:id="1295327783">
                                                  <w:marLeft w:val="0"/>
                                                  <w:marRight w:val="0"/>
                                                  <w:marTop w:val="0"/>
                                                  <w:marBottom w:val="0"/>
                                                  <w:divBdr>
                                                    <w:top w:val="none" w:sz="0" w:space="0" w:color="auto"/>
                                                    <w:left w:val="none" w:sz="0" w:space="0" w:color="auto"/>
                                                    <w:bottom w:val="none" w:sz="0" w:space="0" w:color="auto"/>
                                                    <w:right w:val="none" w:sz="0" w:space="0" w:color="auto"/>
                                                  </w:divBdr>
                                                  <w:divsChild>
                                                    <w:div w:id="147210220">
                                                      <w:marLeft w:val="0"/>
                                                      <w:marRight w:val="0"/>
                                                      <w:marTop w:val="0"/>
                                                      <w:marBottom w:val="0"/>
                                                      <w:divBdr>
                                                        <w:top w:val="none" w:sz="0" w:space="0" w:color="auto"/>
                                                        <w:left w:val="none" w:sz="0" w:space="0" w:color="auto"/>
                                                        <w:bottom w:val="none" w:sz="0" w:space="0" w:color="auto"/>
                                                        <w:right w:val="none" w:sz="0" w:space="0" w:color="auto"/>
                                                      </w:divBdr>
                                                    </w:div>
                                                  </w:divsChild>
                                                </w:div>
                                                <w:div w:id="751200207">
                                                  <w:marLeft w:val="0"/>
                                                  <w:marRight w:val="0"/>
                                                  <w:marTop w:val="0"/>
                                                  <w:marBottom w:val="0"/>
                                                  <w:divBdr>
                                                    <w:top w:val="none" w:sz="0" w:space="0" w:color="auto"/>
                                                    <w:left w:val="none" w:sz="0" w:space="0" w:color="auto"/>
                                                    <w:bottom w:val="none" w:sz="0" w:space="0" w:color="auto"/>
                                                    <w:right w:val="none" w:sz="0" w:space="0" w:color="auto"/>
                                                  </w:divBdr>
                                                  <w:divsChild>
                                                    <w:div w:id="128230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684103">
                                              <w:marLeft w:val="0"/>
                                              <w:marRight w:val="0"/>
                                              <w:marTop w:val="0"/>
                                              <w:marBottom w:val="0"/>
                                              <w:divBdr>
                                                <w:top w:val="none" w:sz="0" w:space="0" w:color="auto"/>
                                                <w:left w:val="none" w:sz="0" w:space="0" w:color="auto"/>
                                                <w:bottom w:val="none" w:sz="0" w:space="0" w:color="auto"/>
                                                <w:right w:val="none" w:sz="0" w:space="0" w:color="auto"/>
                                              </w:divBdr>
                                              <w:divsChild>
                                                <w:div w:id="1658146721">
                                                  <w:marLeft w:val="0"/>
                                                  <w:marRight w:val="0"/>
                                                  <w:marTop w:val="0"/>
                                                  <w:marBottom w:val="0"/>
                                                  <w:divBdr>
                                                    <w:top w:val="none" w:sz="0" w:space="0" w:color="auto"/>
                                                    <w:left w:val="none" w:sz="0" w:space="0" w:color="auto"/>
                                                    <w:bottom w:val="none" w:sz="0" w:space="0" w:color="auto"/>
                                                    <w:right w:val="none" w:sz="0" w:space="0" w:color="auto"/>
                                                  </w:divBdr>
                                                  <w:divsChild>
                                                    <w:div w:id="229006575">
                                                      <w:marLeft w:val="0"/>
                                                      <w:marRight w:val="0"/>
                                                      <w:marTop w:val="0"/>
                                                      <w:marBottom w:val="0"/>
                                                      <w:divBdr>
                                                        <w:top w:val="none" w:sz="0" w:space="0" w:color="auto"/>
                                                        <w:left w:val="none" w:sz="0" w:space="0" w:color="auto"/>
                                                        <w:bottom w:val="none" w:sz="0" w:space="0" w:color="auto"/>
                                                        <w:right w:val="none" w:sz="0" w:space="0" w:color="auto"/>
                                                      </w:divBdr>
                                                    </w:div>
                                                  </w:divsChild>
                                                </w:div>
                                                <w:div w:id="1910771869">
                                                  <w:marLeft w:val="0"/>
                                                  <w:marRight w:val="0"/>
                                                  <w:marTop w:val="0"/>
                                                  <w:marBottom w:val="0"/>
                                                  <w:divBdr>
                                                    <w:top w:val="none" w:sz="0" w:space="0" w:color="auto"/>
                                                    <w:left w:val="none" w:sz="0" w:space="0" w:color="auto"/>
                                                    <w:bottom w:val="none" w:sz="0" w:space="0" w:color="auto"/>
                                                    <w:right w:val="none" w:sz="0" w:space="0" w:color="auto"/>
                                                  </w:divBdr>
                                                  <w:divsChild>
                                                    <w:div w:id="2142452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184027">
                                              <w:marLeft w:val="0"/>
                                              <w:marRight w:val="0"/>
                                              <w:marTop w:val="0"/>
                                              <w:marBottom w:val="0"/>
                                              <w:divBdr>
                                                <w:top w:val="none" w:sz="0" w:space="0" w:color="auto"/>
                                                <w:left w:val="none" w:sz="0" w:space="0" w:color="auto"/>
                                                <w:bottom w:val="none" w:sz="0" w:space="0" w:color="auto"/>
                                                <w:right w:val="none" w:sz="0" w:space="0" w:color="auto"/>
                                              </w:divBdr>
                                              <w:divsChild>
                                                <w:div w:id="1227640903">
                                                  <w:marLeft w:val="0"/>
                                                  <w:marRight w:val="0"/>
                                                  <w:marTop w:val="0"/>
                                                  <w:marBottom w:val="0"/>
                                                  <w:divBdr>
                                                    <w:top w:val="none" w:sz="0" w:space="0" w:color="auto"/>
                                                    <w:left w:val="none" w:sz="0" w:space="0" w:color="auto"/>
                                                    <w:bottom w:val="none" w:sz="0" w:space="0" w:color="auto"/>
                                                    <w:right w:val="none" w:sz="0" w:space="0" w:color="auto"/>
                                                  </w:divBdr>
                                                  <w:divsChild>
                                                    <w:div w:id="1153066723">
                                                      <w:marLeft w:val="0"/>
                                                      <w:marRight w:val="0"/>
                                                      <w:marTop w:val="0"/>
                                                      <w:marBottom w:val="0"/>
                                                      <w:divBdr>
                                                        <w:top w:val="none" w:sz="0" w:space="0" w:color="auto"/>
                                                        <w:left w:val="none" w:sz="0" w:space="0" w:color="auto"/>
                                                        <w:bottom w:val="none" w:sz="0" w:space="0" w:color="auto"/>
                                                        <w:right w:val="none" w:sz="0" w:space="0" w:color="auto"/>
                                                      </w:divBdr>
                                                    </w:div>
                                                  </w:divsChild>
                                                </w:div>
                                                <w:div w:id="1484199146">
                                                  <w:marLeft w:val="0"/>
                                                  <w:marRight w:val="0"/>
                                                  <w:marTop w:val="0"/>
                                                  <w:marBottom w:val="0"/>
                                                  <w:divBdr>
                                                    <w:top w:val="none" w:sz="0" w:space="0" w:color="auto"/>
                                                    <w:left w:val="none" w:sz="0" w:space="0" w:color="auto"/>
                                                    <w:bottom w:val="none" w:sz="0" w:space="0" w:color="auto"/>
                                                    <w:right w:val="none" w:sz="0" w:space="0" w:color="auto"/>
                                                  </w:divBdr>
                                                  <w:divsChild>
                                                    <w:div w:id="17090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01338">
                                              <w:marLeft w:val="0"/>
                                              <w:marRight w:val="0"/>
                                              <w:marTop w:val="0"/>
                                              <w:marBottom w:val="0"/>
                                              <w:divBdr>
                                                <w:top w:val="none" w:sz="0" w:space="0" w:color="auto"/>
                                                <w:left w:val="none" w:sz="0" w:space="0" w:color="auto"/>
                                                <w:bottom w:val="none" w:sz="0" w:space="0" w:color="auto"/>
                                                <w:right w:val="none" w:sz="0" w:space="0" w:color="auto"/>
                                              </w:divBdr>
                                              <w:divsChild>
                                                <w:div w:id="886991839">
                                                  <w:marLeft w:val="0"/>
                                                  <w:marRight w:val="0"/>
                                                  <w:marTop w:val="0"/>
                                                  <w:marBottom w:val="0"/>
                                                  <w:divBdr>
                                                    <w:top w:val="none" w:sz="0" w:space="0" w:color="auto"/>
                                                    <w:left w:val="none" w:sz="0" w:space="0" w:color="auto"/>
                                                    <w:bottom w:val="none" w:sz="0" w:space="0" w:color="auto"/>
                                                    <w:right w:val="none" w:sz="0" w:space="0" w:color="auto"/>
                                                  </w:divBdr>
                                                  <w:divsChild>
                                                    <w:div w:id="1315983710">
                                                      <w:marLeft w:val="0"/>
                                                      <w:marRight w:val="0"/>
                                                      <w:marTop w:val="0"/>
                                                      <w:marBottom w:val="0"/>
                                                      <w:divBdr>
                                                        <w:top w:val="none" w:sz="0" w:space="0" w:color="auto"/>
                                                        <w:left w:val="none" w:sz="0" w:space="0" w:color="auto"/>
                                                        <w:bottom w:val="none" w:sz="0" w:space="0" w:color="auto"/>
                                                        <w:right w:val="none" w:sz="0" w:space="0" w:color="auto"/>
                                                      </w:divBdr>
                                                    </w:div>
                                                  </w:divsChild>
                                                </w:div>
                                                <w:div w:id="1468157214">
                                                  <w:marLeft w:val="0"/>
                                                  <w:marRight w:val="0"/>
                                                  <w:marTop w:val="0"/>
                                                  <w:marBottom w:val="0"/>
                                                  <w:divBdr>
                                                    <w:top w:val="none" w:sz="0" w:space="0" w:color="auto"/>
                                                    <w:left w:val="none" w:sz="0" w:space="0" w:color="auto"/>
                                                    <w:bottom w:val="none" w:sz="0" w:space="0" w:color="auto"/>
                                                    <w:right w:val="none" w:sz="0" w:space="0" w:color="auto"/>
                                                  </w:divBdr>
                                                  <w:divsChild>
                                                    <w:div w:id="200416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498455">
                                              <w:marLeft w:val="0"/>
                                              <w:marRight w:val="0"/>
                                              <w:marTop w:val="0"/>
                                              <w:marBottom w:val="0"/>
                                              <w:divBdr>
                                                <w:top w:val="none" w:sz="0" w:space="0" w:color="auto"/>
                                                <w:left w:val="none" w:sz="0" w:space="0" w:color="auto"/>
                                                <w:bottom w:val="none" w:sz="0" w:space="0" w:color="auto"/>
                                                <w:right w:val="none" w:sz="0" w:space="0" w:color="auto"/>
                                              </w:divBdr>
                                              <w:divsChild>
                                                <w:div w:id="1084031802">
                                                  <w:marLeft w:val="0"/>
                                                  <w:marRight w:val="0"/>
                                                  <w:marTop w:val="0"/>
                                                  <w:marBottom w:val="0"/>
                                                  <w:divBdr>
                                                    <w:top w:val="none" w:sz="0" w:space="0" w:color="auto"/>
                                                    <w:left w:val="none" w:sz="0" w:space="0" w:color="auto"/>
                                                    <w:bottom w:val="none" w:sz="0" w:space="0" w:color="auto"/>
                                                    <w:right w:val="none" w:sz="0" w:space="0" w:color="auto"/>
                                                  </w:divBdr>
                                                  <w:divsChild>
                                                    <w:div w:id="716513150">
                                                      <w:marLeft w:val="0"/>
                                                      <w:marRight w:val="0"/>
                                                      <w:marTop w:val="0"/>
                                                      <w:marBottom w:val="0"/>
                                                      <w:divBdr>
                                                        <w:top w:val="none" w:sz="0" w:space="0" w:color="auto"/>
                                                        <w:left w:val="none" w:sz="0" w:space="0" w:color="auto"/>
                                                        <w:bottom w:val="none" w:sz="0" w:space="0" w:color="auto"/>
                                                        <w:right w:val="none" w:sz="0" w:space="0" w:color="auto"/>
                                                      </w:divBdr>
                                                    </w:div>
                                                  </w:divsChild>
                                                </w:div>
                                                <w:div w:id="1067725840">
                                                  <w:marLeft w:val="0"/>
                                                  <w:marRight w:val="0"/>
                                                  <w:marTop w:val="0"/>
                                                  <w:marBottom w:val="0"/>
                                                  <w:divBdr>
                                                    <w:top w:val="none" w:sz="0" w:space="0" w:color="auto"/>
                                                    <w:left w:val="none" w:sz="0" w:space="0" w:color="auto"/>
                                                    <w:bottom w:val="none" w:sz="0" w:space="0" w:color="auto"/>
                                                    <w:right w:val="none" w:sz="0" w:space="0" w:color="auto"/>
                                                  </w:divBdr>
                                                  <w:divsChild>
                                                    <w:div w:id="148323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795555">
                                              <w:marLeft w:val="0"/>
                                              <w:marRight w:val="0"/>
                                              <w:marTop w:val="0"/>
                                              <w:marBottom w:val="0"/>
                                              <w:divBdr>
                                                <w:top w:val="none" w:sz="0" w:space="0" w:color="auto"/>
                                                <w:left w:val="none" w:sz="0" w:space="0" w:color="auto"/>
                                                <w:bottom w:val="none" w:sz="0" w:space="0" w:color="auto"/>
                                                <w:right w:val="none" w:sz="0" w:space="0" w:color="auto"/>
                                              </w:divBdr>
                                              <w:divsChild>
                                                <w:div w:id="1956865037">
                                                  <w:marLeft w:val="0"/>
                                                  <w:marRight w:val="0"/>
                                                  <w:marTop w:val="0"/>
                                                  <w:marBottom w:val="0"/>
                                                  <w:divBdr>
                                                    <w:top w:val="none" w:sz="0" w:space="0" w:color="auto"/>
                                                    <w:left w:val="none" w:sz="0" w:space="0" w:color="auto"/>
                                                    <w:bottom w:val="none" w:sz="0" w:space="0" w:color="auto"/>
                                                    <w:right w:val="none" w:sz="0" w:space="0" w:color="auto"/>
                                                  </w:divBdr>
                                                  <w:divsChild>
                                                    <w:div w:id="884558786">
                                                      <w:marLeft w:val="0"/>
                                                      <w:marRight w:val="0"/>
                                                      <w:marTop w:val="0"/>
                                                      <w:marBottom w:val="0"/>
                                                      <w:divBdr>
                                                        <w:top w:val="none" w:sz="0" w:space="0" w:color="auto"/>
                                                        <w:left w:val="none" w:sz="0" w:space="0" w:color="auto"/>
                                                        <w:bottom w:val="none" w:sz="0" w:space="0" w:color="auto"/>
                                                        <w:right w:val="none" w:sz="0" w:space="0" w:color="auto"/>
                                                      </w:divBdr>
                                                    </w:div>
                                                  </w:divsChild>
                                                </w:div>
                                                <w:div w:id="210653068">
                                                  <w:marLeft w:val="0"/>
                                                  <w:marRight w:val="0"/>
                                                  <w:marTop w:val="0"/>
                                                  <w:marBottom w:val="0"/>
                                                  <w:divBdr>
                                                    <w:top w:val="none" w:sz="0" w:space="0" w:color="auto"/>
                                                    <w:left w:val="none" w:sz="0" w:space="0" w:color="auto"/>
                                                    <w:bottom w:val="none" w:sz="0" w:space="0" w:color="auto"/>
                                                    <w:right w:val="none" w:sz="0" w:space="0" w:color="auto"/>
                                                  </w:divBdr>
                                                  <w:divsChild>
                                                    <w:div w:id="192140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269367">
                                              <w:marLeft w:val="0"/>
                                              <w:marRight w:val="0"/>
                                              <w:marTop w:val="0"/>
                                              <w:marBottom w:val="0"/>
                                              <w:divBdr>
                                                <w:top w:val="none" w:sz="0" w:space="0" w:color="auto"/>
                                                <w:left w:val="none" w:sz="0" w:space="0" w:color="auto"/>
                                                <w:bottom w:val="none" w:sz="0" w:space="0" w:color="auto"/>
                                                <w:right w:val="none" w:sz="0" w:space="0" w:color="auto"/>
                                              </w:divBdr>
                                              <w:divsChild>
                                                <w:div w:id="1596134547">
                                                  <w:marLeft w:val="0"/>
                                                  <w:marRight w:val="0"/>
                                                  <w:marTop w:val="0"/>
                                                  <w:marBottom w:val="0"/>
                                                  <w:divBdr>
                                                    <w:top w:val="none" w:sz="0" w:space="0" w:color="auto"/>
                                                    <w:left w:val="none" w:sz="0" w:space="0" w:color="auto"/>
                                                    <w:bottom w:val="none" w:sz="0" w:space="0" w:color="auto"/>
                                                    <w:right w:val="none" w:sz="0" w:space="0" w:color="auto"/>
                                                  </w:divBdr>
                                                  <w:divsChild>
                                                    <w:div w:id="245499883">
                                                      <w:marLeft w:val="0"/>
                                                      <w:marRight w:val="0"/>
                                                      <w:marTop w:val="0"/>
                                                      <w:marBottom w:val="0"/>
                                                      <w:divBdr>
                                                        <w:top w:val="none" w:sz="0" w:space="0" w:color="auto"/>
                                                        <w:left w:val="none" w:sz="0" w:space="0" w:color="auto"/>
                                                        <w:bottom w:val="none" w:sz="0" w:space="0" w:color="auto"/>
                                                        <w:right w:val="none" w:sz="0" w:space="0" w:color="auto"/>
                                                      </w:divBdr>
                                                    </w:div>
                                                  </w:divsChild>
                                                </w:div>
                                                <w:div w:id="735125715">
                                                  <w:marLeft w:val="0"/>
                                                  <w:marRight w:val="0"/>
                                                  <w:marTop w:val="0"/>
                                                  <w:marBottom w:val="0"/>
                                                  <w:divBdr>
                                                    <w:top w:val="none" w:sz="0" w:space="0" w:color="auto"/>
                                                    <w:left w:val="none" w:sz="0" w:space="0" w:color="auto"/>
                                                    <w:bottom w:val="none" w:sz="0" w:space="0" w:color="auto"/>
                                                    <w:right w:val="none" w:sz="0" w:space="0" w:color="auto"/>
                                                  </w:divBdr>
                                                  <w:divsChild>
                                                    <w:div w:id="1406762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43075720">
          <w:marLeft w:val="0"/>
          <w:marRight w:val="0"/>
          <w:marTop w:val="0"/>
          <w:marBottom w:val="0"/>
          <w:divBdr>
            <w:top w:val="none" w:sz="0" w:space="0" w:color="auto"/>
            <w:left w:val="none" w:sz="0" w:space="0" w:color="auto"/>
            <w:bottom w:val="none" w:sz="0" w:space="0" w:color="auto"/>
            <w:right w:val="none" w:sz="0" w:space="0" w:color="auto"/>
          </w:divBdr>
          <w:divsChild>
            <w:div w:id="1528912819">
              <w:marLeft w:val="0"/>
              <w:marRight w:val="0"/>
              <w:marTop w:val="0"/>
              <w:marBottom w:val="0"/>
              <w:divBdr>
                <w:top w:val="none" w:sz="0" w:space="0" w:color="auto"/>
                <w:left w:val="none" w:sz="0" w:space="0" w:color="auto"/>
                <w:bottom w:val="none" w:sz="0" w:space="0" w:color="auto"/>
                <w:right w:val="none" w:sz="0" w:space="0" w:color="auto"/>
              </w:divBdr>
              <w:divsChild>
                <w:div w:id="16753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430165">
      <w:bodyDiv w:val="1"/>
      <w:marLeft w:val="0"/>
      <w:marRight w:val="0"/>
      <w:marTop w:val="0"/>
      <w:marBottom w:val="0"/>
      <w:divBdr>
        <w:top w:val="none" w:sz="0" w:space="0" w:color="auto"/>
        <w:left w:val="none" w:sz="0" w:space="0" w:color="auto"/>
        <w:bottom w:val="none" w:sz="0" w:space="0" w:color="auto"/>
        <w:right w:val="none" w:sz="0" w:space="0" w:color="auto"/>
      </w:divBdr>
    </w:div>
    <w:div w:id="360395443">
      <w:bodyDiv w:val="1"/>
      <w:marLeft w:val="0"/>
      <w:marRight w:val="0"/>
      <w:marTop w:val="0"/>
      <w:marBottom w:val="0"/>
      <w:divBdr>
        <w:top w:val="none" w:sz="0" w:space="0" w:color="auto"/>
        <w:left w:val="none" w:sz="0" w:space="0" w:color="auto"/>
        <w:bottom w:val="none" w:sz="0" w:space="0" w:color="auto"/>
        <w:right w:val="none" w:sz="0" w:space="0" w:color="auto"/>
      </w:divBdr>
    </w:div>
    <w:div w:id="369261711">
      <w:bodyDiv w:val="1"/>
      <w:marLeft w:val="0"/>
      <w:marRight w:val="0"/>
      <w:marTop w:val="0"/>
      <w:marBottom w:val="0"/>
      <w:divBdr>
        <w:top w:val="none" w:sz="0" w:space="0" w:color="auto"/>
        <w:left w:val="none" w:sz="0" w:space="0" w:color="auto"/>
        <w:bottom w:val="none" w:sz="0" w:space="0" w:color="auto"/>
        <w:right w:val="none" w:sz="0" w:space="0" w:color="auto"/>
      </w:divBdr>
    </w:div>
    <w:div w:id="403913394">
      <w:bodyDiv w:val="1"/>
      <w:marLeft w:val="0"/>
      <w:marRight w:val="0"/>
      <w:marTop w:val="0"/>
      <w:marBottom w:val="0"/>
      <w:divBdr>
        <w:top w:val="none" w:sz="0" w:space="0" w:color="auto"/>
        <w:left w:val="none" w:sz="0" w:space="0" w:color="auto"/>
        <w:bottom w:val="none" w:sz="0" w:space="0" w:color="auto"/>
        <w:right w:val="none" w:sz="0" w:space="0" w:color="auto"/>
      </w:divBdr>
    </w:div>
    <w:div w:id="414523522">
      <w:bodyDiv w:val="1"/>
      <w:marLeft w:val="0"/>
      <w:marRight w:val="0"/>
      <w:marTop w:val="0"/>
      <w:marBottom w:val="0"/>
      <w:divBdr>
        <w:top w:val="none" w:sz="0" w:space="0" w:color="auto"/>
        <w:left w:val="none" w:sz="0" w:space="0" w:color="auto"/>
        <w:bottom w:val="none" w:sz="0" w:space="0" w:color="auto"/>
        <w:right w:val="none" w:sz="0" w:space="0" w:color="auto"/>
      </w:divBdr>
    </w:div>
    <w:div w:id="446849944">
      <w:bodyDiv w:val="1"/>
      <w:marLeft w:val="0"/>
      <w:marRight w:val="0"/>
      <w:marTop w:val="0"/>
      <w:marBottom w:val="0"/>
      <w:divBdr>
        <w:top w:val="none" w:sz="0" w:space="0" w:color="auto"/>
        <w:left w:val="none" w:sz="0" w:space="0" w:color="auto"/>
        <w:bottom w:val="none" w:sz="0" w:space="0" w:color="auto"/>
        <w:right w:val="none" w:sz="0" w:space="0" w:color="auto"/>
      </w:divBdr>
    </w:div>
    <w:div w:id="539711987">
      <w:bodyDiv w:val="1"/>
      <w:marLeft w:val="0"/>
      <w:marRight w:val="0"/>
      <w:marTop w:val="0"/>
      <w:marBottom w:val="0"/>
      <w:divBdr>
        <w:top w:val="none" w:sz="0" w:space="0" w:color="auto"/>
        <w:left w:val="none" w:sz="0" w:space="0" w:color="auto"/>
        <w:bottom w:val="none" w:sz="0" w:space="0" w:color="auto"/>
        <w:right w:val="none" w:sz="0" w:space="0" w:color="auto"/>
      </w:divBdr>
    </w:div>
    <w:div w:id="547187211">
      <w:bodyDiv w:val="1"/>
      <w:marLeft w:val="0"/>
      <w:marRight w:val="0"/>
      <w:marTop w:val="0"/>
      <w:marBottom w:val="0"/>
      <w:divBdr>
        <w:top w:val="none" w:sz="0" w:space="0" w:color="auto"/>
        <w:left w:val="none" w:sz="0" w:space="0" w:color="auto"/>
        <w:bottom w:val="none" w:sz="0" w:space="0" w:color="auto"/>
        <w:right w:val="none" w:sz="0" w:space="0" w:color="auto"/>
      </w:divBdr>
    </w:div>
    <w:div w:id="563372653">
      <w:bodyDiv w:val="1"/>
      <w:marLeft w:val="0"/>
      <w:marRight w:val="0"/>
      <w:marTop w:val="0"/>
      <w:marBottom w:val="0"/>
      <w:divBdr>
        <w:top w:val="none" w:sz="0" w:space="0" w:color="auto"/>
        <w:left w:val="none" w:sz="0" w:space="0" w:color="auto"/>
        <w:bottom w:val="none" w:sz="0" w:space="0" w:color="auto"/>
        <w:right w:val="none" w:sz="0" w:space="0" w:color="auto"/>
      </w:divBdr>
    </w:div>
    <w:div w:id="596332514">
      <w:bodyDiv w:val="1"/>
      <w:marLeft w:val="0"/>
      <w:marRight w:val="0"/>
      <w:marTop w:val="0"/>
      <w:marBottom w:val="0"/>
      <w:divBdr>
        <w:top w:val="none" w:sz="0" w:space="0" w:color="auto"/>
        <w:left w:val="none" w:sz="0" w:space="0" w:color="auto"/>
        <w:bottom w:val="none" w:sz="0" w:space="0" w:color="auto"/>
        <w:right w:val="none" w:sz="0" w:space="0" w:color="auto"/>
      </w:divBdr>
    </w:div>
    <w:div w:id="607585425">
      <w:bodyDiv w:val="1"/>
      <w:marLeft w:val="0"/>
      <w:marRight w:val="0"/>
      <w:marTop w:val="0"/>
      <w:marBottom w:val="0"/>
      <w:divBdr>
        <w:top w:val="none" w:sz="0" w:space="0" w:color="auto"/>
        <w:left w:val="none" w:sz="0" w:space="0" w:color="auto"/>
        <w:bottom w:val="none" w:sz="0" w:space="0" w:color="auto"/>
        <w:right w:val="none" w:sz="0" w:space="0" w:color="auto"/>
      </w:divBdr>
    </w:div>
    <w:div w:id="643923707">
      <w:bodyDiv w:val="1"/>
      <w:marLeft w:val="0"/>
      <w:marRight w:val="0"/>
      <w:marTop w:val="0"/>
      <w:marBottom w:val="0"/>
      <w:divBdr>
        <w:top w:val="none" w:sz="0" w:space="0" w:color="auto"/>
        <w:left w:val="none" w:sz="0" w:space="0" w:color="auto"/>
        <w:bottom w:val="none" w:sz="0" w:space="0" w:color="auto"/>
        <w:right w:val="none" w:sz="0" w:space="0" w:color="auto"/>
      </w:divBdr>
    </w:div>
    <w:div w:id="679426537">
      <w:bodyDiv w:val="1"/>
      <w:marLeft w:val="0"/>
      <w:marRight w:val="0"/>
      <w:marTop w:val="0"/>
      <w:marBottom w:val="0"/>
      <w:divBdr>
        <w:top w:val="none" w:sz="0" w:space="0" w:color="auto"/>
        <w:left w:val="none" w:sz="0" w:space="0" w:color="auto"/>
        <w:bottom w:val="none" w:sz="0" w:space="0" w:color="auto"/>
        <w:right w:val="none" w:sz="0" w:space="0" w:color="auto"/>
      </w:divBdr>
    </w:div>
    <w:div w:id="683168878">
      <w:bodyDiv w:val="1"/>
      <w:marLeft w:val="0"/>
      <w:marRight w:val="0"/>
      <w:marTop w:val="0"/>
      <w:marBottom w:val="0"/>
      <w:divBdr>
        <w:top w:val="none" w:sz="0" w:space="0" w:color="auto"/>
        <w:left w:val="none" w:sz="0" w:space="0" w:color="auto"/>
        <w:bottom w:val="none" w:sz="0" w:space="0" w:color="auto"/>
        <w:right w:val="none" w:sz="0" w:space="0" w:color="auto"/>
      </w:divBdr>
    </w:div>
    <w:div w:id="791554886">
      <w:bodyDiv w:val="1"/>
      <w:marLeft w:val="0"/>
      <w:marRight w:val="0"/>
      <w:marTop w:val="0"/>
      <w:marBottom w:val="0"/>
      <w:divBdr>
        <w:top w:val="none" w:sz="0" w:space="0" w:color="auto"/>
        <w:left w:val="none" w:sz="0" w:space="0" w:color="auto"/>
        <w:bottom w:val="none" w:sz="0" w:space="0" w:color="auto"/>
        <w:right w:val="none" w:sz="0" w:space="0" w:color="auto"/>
      </w:divBdr>
    </w:div>
    <w:div w:id="793133440">
      <w:bodyDiv w:val="1"/>
      <w:marLeft w:val="0"/>
      <w:marRight w:val="0"/>
      <w:marTop w:val="0"/>
      <w:marBottom w:val="0"/>
      <w:divBdr>
        <w:top w:val="none" w:sz="0" w:space="0" w:color="auto"/>
        <w:left w:val="none" w:sz="0" w:space="0" w:color="auto"/>
        <w:bottom w:val="none" w:sz="0" w:space="0" w:color="auto"/>
        <w:right w:val="none" w:sz="0" w:space="0" w:color="auto"/>
      </w:divBdr>
    </w:div>
    <w:div w:id="796795877">
      <w:bodyDiv w:val="1"/>
      <w:marLeft w:val="0"/>
      <w:marRight w:val="0"/>
      <w:marTop w:val="0"/>
      <w:marBottom w:val="0"/>
      <w:divBdr>
        <w:top w:val="none" w:sz="0" w:space="0" w:color="auto"/>
        <w:left w:val="none" w:sz="0" w:space="0" w:color="auto"/>
        <w:bottom w:val="none" w:sz="0" w:space="0" w:color="auto"/>
        <w:right w:val="none" w:sz="0" w:space="0" w:color="auto"/>
      </w:divBdr>
    </w:div>
    <w:div w:id="828710874">
      <w:bodyDiv w:val="1"/>
      <w:marLeft w:val="0"/>
      <w:marRight w:val="0"/>
      <w:marTop w:val="0"/>
      <w:marBottom w:val="0"/>
      <w:divBdr>
        <w:top w:val="none" w:sz="0" w:space="0" w:color="auto"/>
        <w:left w:val="none" w:sz="0" w:space="0" w:color="auto"/>
        <w:bottom w:val="none" w:sz="0" w:space="0" w:color="auto"/>
        <w:right w:val="none" w:sz="0" w:space="0" w:color="auto"/>
      </w:divBdr>
    </w:div>
    <w:div w:id="833183690">
      <w:bodyDiv w:val="1"/>
      <w:marLeft w:val="0"/>
      <w:marRight w:val="0"/>
      <w:marTop w:val="0"/>
      <w:marBottom w:val="0"/>
      <w:divBdr>
        <w:top w:val="none" w:sz="0" w:space="0" w:color="auto"/>
        <w:left w:val="none" w:sz="0" w:space="0" w:color="auto"/>
        <w:bottom w:val="none" w:sz="0" w:space="0" w:color="auto"/>
        <w:right w:val="none" w:sz="0" w:space="0" w:color="auto"/>
      </w:divBdr>
    </w:div>
    <w:div w:id="885720784">
      <w:bodyDiv w:val="1"/>
      <w:marLeft w:val="0"/>
      <w:marRight w:val="0"/>
      <w:marTop w:val="0"/>
      <w:marBottom w:val="0"/>
      <w:divBdr>
        <w:top w:val="none" w:sz="0" w:space="0" w:color="auto"/>
        <w:left w:val="none" w:sz="0" w:space="0" w:color="auto"/>
        <w:bottom w:val="none" w:sz="0" w:space="0" w:color="auto"/>
        <w:right w:val="none" w:sz="0" w:space="0" w:color="auto"/>
      </w:divBdr>
    </w:div>
    <w:div w:id="890729242">
      <w:bodyDiv w:val="1"/>
      <w:marLeft w:val="0"/>
      <w:marRight w:val="0"/>
      <w:marTop w:val="0"/>
      <w:marBottom w:val="0"/>
      <w:divBdr>
        <w:top w:val="none" w:sz="0" w:space="0" w:color="auto"/>
        <w:left w:val="none" w:sz="0" w:space="0" w:color="auto"/>
        <w:bottom w:val="none" w:sz="0" w:space="0" w:color="auto"/>
        <w:right w:val="none" w:sz="0" w:space="0" w:color="auto"/>
      </w:divBdr>
    </w:div>
    <w:div w:id="912355470">
      <w:bodyDiv w:val="1"/>
      <w:marLeft w:val="0"/>
      <w:marRight w:val="0"/>
      <w:marTop w:val="0"/>
      <w:marBottom w:val="0"/>
      <w:divBdr>
        <w:top w:val="none" w:sz="0" w:space="0" w:color="auto"/>
        <w:left w:val="none" w:sz="0" w:space="0" w:color="auto"/>
        <w:bottom w:val="none" w:sz="0" w:space="0" w:color="auto"/>
        <w:right w:val="none" w:sz="0" w:space="0" w:color="auto"/>
      </w:divBdr>
    </w:div>
    <w:div w:id="913511526">
      <w:bodyDiv w:val="1"/>
      <w:marLeft w:val="0"/>
      <w:marRight w:val="0"/>
      <w:marTop w:val="0"/>
      <w:marBottom w:val="0"/>
      <w:divBdr>
        <w:top w:val="none" w:sz="0" w:space="0" w:color="auto"/>
        <w:left w:val="none" w:sz="0" w:space="0" w:color="auto"/>
        <w:bottom w:val="none" w:sz="0" w:space="0" w:color="auto"/>
        <w:right w:val="none" w:sz="0" w:space="0" w:color="auto"/>
      </w:divBdr>
    </w:div>
    <w:div w:id="926155491">
      <w:bodyDiv w:val="1"/>
      <w:marLeft w:val="0"/>
      <w:marRight w:val="0"/>
      <w:marTop w:val="0"/>
      <w:marBottom w:val="0"/>
      <w:divBdr>
        <w:top w:val="none" w:sz="0" w:space="0" w:color="auto"/>
        <w:left w:val="none" w:sz="0" w:space="0" w:color="auto"/>
        <w:bottom w:val="none" w:sz="0" w:space="0" w:color="auto"/>
        <w:right w:val="none" w:sz="0" w:space="0" w:color="auto"/>
      </w:divBdr>
    </w:div>
    <w:div w:id="963314994">
      <w:bodyDiv w:val="1"/>
      <w:marLeft w:val="0"/>
      <w:marRight w:val="0"/>
      <w:marTop w:val="0"/>
      <w:marBottom w:val="0"/>
      <w:divBdr>
        <w:top w:val="none" w:sz="0" w:space="0" w:color="auto"/>
        <w:left w:val="none" w:sz="0" w:space="0" w:color="auto"/>
        <w:bottom w:val="none" w:sz="0" w:space="0" w:color="auto"/>
        <w:right w:val="none" w:sz="0" w:space="0" w:color="auto"/>
      </w:divBdr>
    </w:div>
    <w:div w:id="988359793">
      <w:bodyDiv w:val="1"/>
      <w:marLeft w:val="0"/>
      <w:marRight w:val="0"/>
      <w:marTop w:val="0"/>
      <w:marBottom w:val="0"/>
      <w:divBdr>
        <w:top w:val="none" w:sz="0" w:space="0" w:color="auto"/>
        <w:left w:val="none" w:sz="0" w:space="0" w:color="auto"/>
        <w:bottom w:val="none" w:sz="0" w:space="0" w:color="auto"/>
        <w:right w:val="none" w:sz="0" w:space="0" w:color="auto"/>
      </w:divBdr>
    </w:div>
    <w:div w:id="988630889">
      <w:bodyDiv w:val="1"/>
      <w:marLeft w:val="0"/>
      <w:marRight w:val="0"/>
      <w:marTop w:val="0"/>
      <w:marBottom w:val="0"/>
      <w:divBdr>
        <w:top w:val="none" w:sz="0" w:space="0" w:color="auto"/>
        <w:left w:val="none" w:sz="0" w:space="0" w:color="auto"/>
        <w:bottom w:val="none" w:sz="0" w:space="0" w:color="auto"/>
        <w:right w:val="none" w:sz="0" w:space="0" w:color="auto"/>
      </w:divBdr>
    </w:div>
    <w:div w:id="1100032482">
      <w:bodyDiv w:val="1"/>
      <w:marLeft w:val="0"/>
      <w:marRight w:val="0"/>
      <w:marTop w:val="0"/>
      <w:marBottom w:val="0"/>
      <w:divBdr>
        <w:top w:val="none" w:sz="0" w:space="0" w:color="auto"/>
        <w:left w:val="none" w:sz="0" w:space="0" w:color="auto"/>
        <w:bottom w:val="none" w:sz="0" w:space="0" w:color="auto"/>
        <w:right w:val="none" w:sz="0" w:space="0" w:color="auto"/>
      </w:divBdr>
    </w:div>
    <w:div w:id="1224953665">
      <w:bodyDiv w:val="1"/>
      <w:marLeft w:val="0"/>
      <w:marRight w:val="0"/>
      <w:marTop w:val="0"/>
      <w:marBottom w:val="0"/>
      <w:divBdr>
        <w:top w:val="none" w:sz="0" w:space="0" w:color="auto"/>
        <w:left w:val="none" w:sz="0" w:space="0" w:color="auto"/>
        <w:bottom w:val="none" w:sz="0" w:space="0" w:color="auto"/>
        <w:right w:val="none" w:sz="0" w:space="0" w:color="auto"/>
      </w:divBdr>
    </w:div>
    <w:div w:id="1261452288">
      <w:bodyDiv w:val="1"/>
      <w:marLeft w:val="0"/>
      <w:marRight w:val="0"/>
      <w:marTop w:val="0"/>
      <w:marBottom w:val="0"/>
      <w:divBdr>
        <w:top w:val="none" w:sz="0" w:space="0" w:color="auto"/>
        <w:left w:val="none" w:sz="0" w:space="0" w:color="auto"/>
        <w:bottom w:val="none" w:sz="0" w:space="0" w:color="auto"/>
        <w:right w:val="none" w:sz="0" w:space="0" w:color="auto"/>
      </w:divBdr>
    </w:div>
    <w:div w:id="1323509387">
      <w:bodyDiv w:val="1"/>
      <w:marLeft w:val="0"/>
      <w:marRight w:val="0"/>
      <w:marTop w:val="0"/>
      <w:marBottom w:val="0"/>
      <w:divBdr>
        <w:top w:val="none" w:sz="0" w:space="0" w:color="auto"/>
        <w:left w:val="none" w:sz="0" w:space="0" w:color="auto"/>
        <w:bottom w:val="none" w:sz="0" w:space="0" w:color="auto"/>
        <w:right w:val="none" w:sz="0" w:space="0" w:color="auto"/>
      </w:divBdr>
    </w:div>
    <w:div w:id="1347174118">
      <w:bodyDiv w:val="1"/>
      <w:marLeft w:val="0"/>
      <w:marRight w:val="0"/>
      <w:marTop w:val="0"/>
      <w:marBottom w:val="0"/>
      <w:divBdr>
        <w:top w:val="none" w:sz="0" w:space="0" w:color="auto"/>
        <w:left w:val="none" w:sz="0" w:space="0" w:color="auto"/>
        <w:bottom w:val="none" w:sz="0" w:space="0" w:color="auto"/>
        <w:right w:val="none" w:sz="0" w:space="0" w:color="auto"/>
      </w:divBdr>
    </w:div>
    <w:div w:id="1407799514">
      <w:bodyDiv w:val="1"/>
      <w:marLeft w:val="0"/>
      <w:marRight w:val="0"/>
      <w:marTop w:val="0"/>
      <w:marBottom w:val="0"/>
      <w:divBdr>
        <w:top w:val="none" w:sz="0" w:space="0" w:color="auto"/>
        <w:left w:val="none" w:sz="0" w:space="0" w:color="auto"/>
        <w:bottom w:val="none" w:sz="0" w:space="0" w:color="auto"/>
        <w:right w:val="none" w:sz="0" w:space="0" w:color="auto"/>
      </w:divBdr>
    </w:div>
    <w:div w:id="1447895760">
      <w:bodyDiv w:val="1"/>
      <w:marLeft w:val="0"/>
      <w:marRight w:val="0"/>
      <w:marTop w:val="0"/>
      <w:marBottom w:val="0"/>
      <w:divBdr>
        <w:top w:val="none" w:sz="0" w:space="0" w:color="auto"/>
        <w:left w:val="none" w:sz="0" w:space="0" w:color="auto"/>
        <w:bottom w:val="none" w:sz="0" w:space="0" w:color="auto"/>
        <w:right w:val="none" w:sz="0" w:space="0" w:color="auto"/>
      </w:divBdr>
    </w:div>
    <w:div w:id="1487667543">
      <w:bodyDiv w:val="1"/>
      <w:marLeft w:val="0"/>
      <w:marRight w:val="0"/>
      <w:marTop w:val="0"/>
      <w:marBottom w:val="0"/>
      <w:divBdr>
        <w:top w:val="none" w:sz="0" w:space="0" w:color="auto"/>
        <w:left w:val="none" w:sz="0" w:space="0" w:color="auto"/>
        <w:bottom w:val="none" w:sz="0" w:space="0" w:color="auto"/>
        <w:right w:val="none" w:sz="0" w:space="0" w:color="auto"/>
      </w:divBdr>
    </w:div>
    <w:div w:id="1494685668">
      <w:bodyDiv w:val="1"/>
      <w:marLeft w:val="0"/>
      <w:marRight w:val="0"/>
      <w:marTop w:val="0"/>
      <w:marBottom w:val="0"/>
      <w:divBdr>
        <w:top w:val="none" w:sz="0" w:space="0" w:color="auto"/>
        <w:left w:val="none" w:sz="0" w:space="0" w:color="auto"/>
        <w:bottom w:val="none" w:sz="0" w:space="0" w:color="auto"/>
        <w:right w:val="none" w:sz="0" w:space="0" w:color="auto"/>
      </w:divBdr>
    </w:div>
    <w:div w:id="1530993367">
      <w:bodyDiv w:val="1"/>
      <w:marLeft w:val="0"/>
      <w:marRight w:val="0"/>
      <w:marTop w:val="0"/>
      <w:marBottom w:val="0"/>
      <w:divBdr>
        <w:top w:val="none" w:sz="0" w:space="0" w:color="auto"/>
        <w:left w:val="none" w:sz="0" w:space="0" w:color="auto"/>
        <w:bottom w:val="none" w:sz="0" w:space="0" w:color="auto"/>
        <w:right w:val="none" w:sz="0" w:space="0" w:color="auto"/>
      </w:divBdr>
    </w:div>
    <w:div w:id="1566255511">
      <w:bodyDiv w:val="1"/>
      <w:marLeft w:val="0"/>
      <w:marRight w:val="0"/>
      <w:marTop w:val="0"/>
      <w:marBottom w:val="0"/>
      <w:divBdr>
        <w:top w:val="none" w:sz="0" w:space="0" w:color="auto"/>
        <w:left w:val="none" w:sz="0" w:space="0" w:color="auto"/>
        <w:bottom w:val="none" w:sz="0" w:space="0" w:color="auto"/>
        <w:right w:val="none" w:sz="0" w:space="0" w:color="auto"/>
      </w:divBdr>
    </w:div>
    <w:div w:id="1570772664">
      <w:bodyDiv w:val="1"/>
      <w:marLeft w:val="0"/>
      <w:marRight w:val="0"/>
      <w:marTop w:val="0"/>
      <w:marBottom w:val="0"/>
      <w:divBdr>
        <w:top w:val="none" w:sz="0" w:space="0" w:color="auto"/>
        <w:left w:val="none" w:sz="0" w:space="0" w:color="auto"/>
        <w:bottom w:val="none" w:sz="0" w:space="0" w:color="auto"/>
        <w:right w:val="none" w:sz="0" w:space="0" w:color="auto"/>
      </w:divBdr>
    </w:div>
    <w:div w:id="1646618321">
      <w:bodyDiv w:val="1"/>
      <w:marLeft w:val="0"/>
      <w:marRight w:val="0"/>
      <w:marTop w:val="0"/>
      <w:marBottom w:val="0"/>
      <w:divBdr>
        <w:top w:val="none" w:sz="0" w:space="0" w:color="auto"/>
        <w:left w:val="none" w:sz="0" w:space="0" w:color="auto"/>
        <w:bottom w:val="none" w:sz="0" w:space="0" w:color="auto"/>
        <w:right w:val="none" w:sz="0" w:space="0" w:color="auto"/>
      </w:divBdr>
    </w:div>
    <w:div w:id="1653413861">
      <w:bodyDiv w:val="1"/>
      <w:marLeft w:val="0"/>
      <w:marRight w:val="0"/>
      <w:marTop w:val="0"/>
      <w:marBottom w:val="0"/>
      <w:divBdr>
        <w:top w:val="none" w:sz="0" w:space="0" w:color="auto"/>
        <w:left w:val="none" w:sz="0" w:space="0" w:color="auto"/>
        <w:bottom w:val="none" w:sz="0" w:space="0" w:color="auto"/>
        <w:right w:val="none" w:sz="0" w:space="0" w:color="auto"/>
      </w:divBdr>
    </w:div>
    <w:div w:id="1714689631">
      <w:bodyDiv w:val="1"/>
      <w:marLeft w:val="0"/>
      <w:marRight w:val="0"/>
      <w:marTop w:val="0"/>
      <w:marBottom w:val="0"/>
      <w:divBdr>
        <w:top w:val="none" w:sz="0" w:space="0" w:color="auto"/>
        <w:left w:val="none" w:sz="0" w:space="0" w:color="auto"/>
        <w:bottom w:val="none" w:sz="0" w:space="0" w:color="auto"/>
        <w:right w:val="none" w:sz="0" w:space="0" w:color="auto"/>
      </w:divBdr>
    </w:div>
    <w:div w:id="1727870984">
      <w:bodyDiv w:val="1"/>
      <w:marLeft w:val="0"/>
      <w:marRight w:val="0"/>
      <w:marTop w:val="0"/>
      <w:marBottom w:val="0"/>
      <w:divBdr>
        <w:top w:val="none" w:sz="0" w:space="0" w:color="auto"/>
        <w:left w:val="none" w:sz="0" w:space="0" w:color="auto"/>
        <w:bottom w:val="none" w:sz="0" w:space="0" w:color="auto"/>
        <w:right w:val="none" w:sz="0" w:space="0" w:color="auto"/>
      </w:divBdr>
    </w:div>
    <w:div w:id="1751342632">
      <w:bodyDiv w:val="1"/>
      <w:marLeft w:val="0"/>
      <w:marRight w:val="0"/>
      <w:marTop w:val="0"/>
      <w:marBottom w:val="0"/>
      <w:divBdr>
        <w:top w:val="none" w:sz="0" w:space="0" w:color="auto"/>
        <w:left w:val="none" w:sz="0" w:space="0" w:color="auto"/>
        <w:bottom w:val="none" w:sz="0" w:space="0" w:color="auto"/>
        <w:right w:val="none" w:sz="0" w:space="0" w:color="auto"/>
      </w:divBdr>
    </w:div>
    <w:div w:id="1851287650">
      <w:bodyDiv w:val="1"/>
      <w:marLeft w:val="0"/>
      <w:marRight w:val="0"/>
      <w:marTop w:val="0"/>
      <w:marBottom w:val="0"/>
      <w:divBdr>
        <w:top w:val="none" w:sz="0" w:space="0" w:color="auto"/>
        <w:left w:val="none" w:sz="0" w:space="0" w:color="auto"/>
        <w:bottom w:val="none" w:sz="0" w:space="0" w:color="auto"/>
        <w:right w:val="none" w:sz="0" w:space="0" w:color="auto"/>
      </w:divBdr>
    </w:div>
    <w:div w:id="1873107908">
      <w:bodyDiv w:val="1"/>
      <w:marLeft w:val="0"/>
      <w:marRight w:val="0"/>
      <w:marTop w:val="0"/>
      <w:marBottom w:val="0"/>
      <w:divBdr>
        <w:top w:val="none" w:sz="0" w:space="0" w:color="auto"/>
        <w:left w:val="none" w:sz="0" w:space="0" w:color="auto"/>
        <w:bottom w:val="none" w:sz="0" w:space="0" w:color="auto"/>
        <w:right w:val="none" w:sz="0" w:space="0" w:color="auto"/>
      </w:divBdr>
    </w:div>
    <w:div w:id="1892571404">
      <w:bodyDiv w:val="1"/>
      <w:marLeft w:val="0"/>
      <w:marRight w:val="0"/>
      <w:marTop w:val="0"/>
      <w:marBottom w:val="0"/>
      <w:divBdr>
        <w:top w:val="none" w:sz="0" w:space="0" w:color="auto"/>
        <w:left w:val="none" w:sz="0" w:space="0" w:color="auto"/>
        <w:bottom w:val="none" w:sz="0" w:space="0" w:color="auto"/>
        <w:right w:val="none" w:sz="0" w:space="0" w:color="auto"/>
      </w:divBdr>
    </w:div>
    <w:div w:id="1926110083">
      <w:bodyDiv w:val="1"/>
      <w:marLeft w:val="0"/>
      <w:marRight w:val="0"/>
      <w:marTop w:val="0"/>
      <w:marBottom w:val="0"/>
      <w:divBdr>
        <w:top w:val="none" w:sz="0" w:space="0" w:color="auto"/>
        <w:left w:val="none" w:sz="0" w:space="0" w:color="auto"/>
        <w:bottom w:val="none" w:sz="0" w:space="0" w:color="auto"/>
        <w:right w:val="none" w:sz="0" w:space="0" w:color="auto"/>
      </w:divBdr>
    </w:div>
    <w:div w:id="1985348869">
      <w:bodyDiv w:val="1"/>
      <w:marLeft w:val="0"/>
      <w:marRight w:val="0"/>
      <w:marTop w:val="0"/>
      <w:marBottom w:val="0"/>
      <w:divBdr>
        <w:top w:val="none" w:sz="0" w:space="0" w:color="auto"/>
        <w:left w:val="none" w:sz="0" w:space="0" w:color="auto"/>
        <w:bottom w:val="none" w:sz="0" w:space="0" w:color="auto"/>
        <w:right w:val="none" w:sz="0" w:space="0" w:color="auto"/>
      </w:divBdr>
    </w:div>
    <w:div w:id="2028677622">
      <w:bodyDiv w:val="1"/>
      <w:marLeft w:val="0"/>
      <w:marRight w:val="0"/>
      <w:marTop w:val="0"/>
      <w:marBottom w:val="0"/>
      <w:divBdr>
        <w:top w:val="none" w:sz="0" w:space="0" w:color="auto"/>
        <w:left w:val="none" w:sz="0" w:space="0" w:color="auto"/>
        <w:bottom w:val="none" w:sz="0" w:space="0" w:color="auto"/>
        <w:right w:val="none" w:sz="0" w:space="0" w:color="auto"/>
      </w:divBdr>
    </w:div>
    <w:div w:id="2073767606">
      <w:bodyDiv w:val="1"/>
      <w:marLeft w:val="0"/>
      <w:marRight w:val="0"/>
      <w:marTop w:val="0"/>
      <w:marBottom w:val="0"/>
      <w:divBdr>
        <w:top w:val="none" w:sz="0" w:space="0" w:color="auto"/>
        <w:left w:val="none" w:sz="0" w:space="0" w:color="auto"/>
        <w:bottom w:val="none" w:sz="0" w:space="0" w:color="auto"/>
        <w:right w:val="none" w:sz="0" w:space="0" w:color="auto"/>
      </w:divBdr>
    </w:div>
    <w:div w:id="2098822025">
      <w:bodyDiv w:val="1"/>
      <w:marLeft w:val="0"/>
      <w:marRight w:val="0"/>
      <w:marTop w:val="0"/>
      <w:marBottom w:val="0"/>
      <w:divBdr>
        <w:top w:val="none" w:sz="0" w:space="0" w:color="auto"/>
        <w:left w:val="none" w:sz="0" w:space="0" w:color="auto"/>
        <w:bottom w:val="none" w:sz="0" w:space="0" w:color="auto"/>
        <w:right w:val="none" w:sz="0" w:space="0" w:color="auto"/>
      </w:divBdr>
    </w:div>
    <w:div w:id="2126995418">
      <w:bodyDiv w:val="1"/>
      <w:marLeft w:val="0"/>
      <w:marRight w:val="0"/>
      <w:marTop w:val="0"/>
      <w:marBottom w:val="0"/>
      <w:divBdr>
        <w:top w:val="none" w:sz="0" w:space="0" w:color="auto"/>
        <w:left w:val="none" w:sz="0" w:space="0" w:color="auto"/>
        <w:bottom w:val="none" w:sz="0" w:space="0" w:color="auto"/>
        <w:right w:val="none" w:sz="0" w:space="0" w:color="auto"/>
      </w:divBdr>
    </w:div>
    <w:div w:id="2142795588">
      <w:bodyDiv w:val="1"/>
      <w:marLeft w:val="0"/>
      <w:marRight w:val="0"/>
      <w:marTop w:val="0"/>
      <w:marBottom w:val="0"/>
      <w:divBdr>
        <w:top w:val="none" w:sz="0" w:space="0" w:color="auto"/>
        <w:left w:val="none" w:sz="0" w:space="0" w:color="auto"/>
        <w:bottom w:val="none" w:sz="0" w:space="0" w:color="auto"/>
        <w:right w:val="none" w:sz="0" w:space="0" w:color="auto"/>
      </w:divBdr>
    </w:div>
    <w:div w:id="21437649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757C18E131F26E499476E94B717A15E1" ma:contentTypeVersion="5" ma:contentTypeDescription="Crear nuevo documento." ma:contentTypeScope="" ma:versionID="ae8ce03bfce856a37a95cc7fa6c00b4c">
  <xsd:schema xmlns:xsd="http://www.w3.org/2001/XMLSchema" xmlns:xs="http://www.w3.org/2001/XMLSchema" xmlns:p="http://schemas.microsoft.com/office/2006/metadata/properties" xmlns:ns2="4ee33aa9-914d-4c75-9035-ca82ab83ba36" targetNamespace="http://schemas.microsoft.com/office/2006/metadata/properties" ma:root="true" ma:fieldsID="60a16a610a3a93ac6ffccba7fe9b8a7a" ns2:_="">
    <xsd:import namespace="4ee33aa9-914d-4c75-9035-ca82ab83ba36"/>
    <xsd:element name="properties">
      <xsd:complexType>
        <xsd:sequence>
          <xsd:element name="documentManagement">
            <xsd:complexType>
              <xsd:all>
                <xsd:element ref="ns2:MediaServiceMetadata" minOccurs="0"/>
                <xsd:element ref="ns2:MediaServiceFastMetadata" minOccurs="0"/>
                <xsd:element ref="ns2:TipoAnexo"/>
                <xsd:element ref="ns2:FinalidadPlantilla"/>
                <xsd:element ref="ns2:AnexoObligatori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e33aa9-914d-4c75-9035-ca82ab83ba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TipoAnexo" ma:index="10" ma:displayName="TipoAnexo" ma:list="{4f4d23b5-2b48-4304-8d87-c4ae61361405}" ma:internalName="TipoAnexo" ma:showField="Title">
      <xsd:simpleType>
        <xsd:restriction base="dms:Lookup"/>
      </xsd:simpleType>
    </xsd:element>
    <xsd:element name="FinalidadPlantilla" ma:index="11" ma:displayName="FinalidadPlantilla" ma:format="Dropdown" ma:internalName="FinalidadPlantilla">
      <xsd:simpleType>
        <xsd:restriction base="dms:Choice">
          <xsd:enumeration value="Pregrado y especialización"/>
          <xsd:enumeration value="Maestrías y doctorados"/>
        </xsd:restriction>
      </xsd:simpleType>
    </xsd:element>
    <xsd:element name="AnexoObligatorio" ma:index="12" nillable="true" ma:displayName="AnexoObligatorio" ma:default="0" ma:internalName="AnexoObligatorio">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FinalidadPlantilla xmlns="4ee33aa9-914d-4c75-9035-ca82ab83ba36">Pregrado y especialización</FinalidadPlantilla>
    <AnexoObligatorio xmlns="4ee33aa9-914d-4c75-9035-ca82ab83ba36">true</AnexoObligatorio>
    <TipoAnexo xmlns="4ee33aa9-914d-4c75-9035-ca82ab83ba36">202</TipoAnexo>
  </documentManagement>
</p:properties>
</file>

<file path=customXml/itemProps1.xml><?xml version="1.0" encoding="utf-8"?>
<ds:datastoreItem xmlns:ds="http://schemas.openxmlformats.org/officeDocument/2006/customXml" ds:itemID="{84BC3681-9513-41D8-8A77-B648C3788139}">
  <ds:schemaRefs>
    <ds:schemaRef ds:uri="http://schemas.microsoft.com/sharepoint/v3/contenttype/forms"/>
  </ds:schemaRefs>
</ds:datastoreItem>
</file>

<file path=customXml/itemProps2.xml><?xml version="1.0" encoding="utf-8"?>
<ds:datastoreItem xmlns:ds="http://schemas.openxmlformats.org/officeDocument/2006/customXml" ds:itemID="{4CA5434F-D900-4143-A640-B92AAA87317F}">
  <ds:schemaRefs>
    <ds:schemaRef ds:uri="http://schemas.openxmlformats.org/officeDocument/2006/bibliography"/>
  </ds:schemaRefs>
</ds:datastoreItem>
</file>

<file path=customXml/itemProps3.xml><?xml version="1.0" encoding="utf-8"?>
<ds:datastoreItem xmlns:ds="http://schemas.openxmlformats.org/officeDocument/2006/customXml" ds:itemID="{43334C92-E5DB-43C9-893D-B2B47E72C3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e33aa9-914d-4c75-9035-ca82ab83ba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FCC9C3A-D9AA-4E5B-A1B8-65C3E8A660A8}">
  <ds:schemaRefs>
    <ds:schemaRef ds:uri="http://schemas.microsoft.com/office/2006/metadata/properties"/>
    <ds:schemaRef ds:uri="http://schemas.microsoft.com/office/infopath/2007/PartnerControls"/>
    <ds:schemaRef ds:uri="4ee33aa9-914d-4c75-9035-ca82ab83ba36"/>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22</Pages>
  <Words>6208</Words>
  <Characters>34145</Characters>
  <Application>Microsoft Office Word</Application>
  <DocSecurity>0</DocSecurity>
  <Lines>284</Lines>
  <Paragraphs>80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UEC</Company>
  <LinksUpToDate>false</LinksUpToDate>
  <CharactersWithSpaces>40273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luisa.caldas</dc:creator>
  <cp:keywords/>
  <dc:description/>
  <cp:lastModifiedBy>Valentina Salazar</cp:lastModifiedBy>
  <cp:revision>4</cp:revision>
  <cp:lastPrinted>2020-01-25T02:39:00Z</cp:lastPrinted>
  <dcterms:created xsi:type="dcterms:W3CDTF">2022-09-28T13:04:00Z</dcterms:created>
  <dcterms:modified xsi:type="dcterms:W3CDTF">2022-09-28T13:32:00Z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0x010100757C18E131F26E499476E94B717A15E1</vt:lpwstr>
  </property>
</Properties>
</file>